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שני המבחנים הראשונים מתקיימים. חברי הקבוצה הם עובדי החברה שהצטרפו מרצונם, ולקבוצה תקנון הקובע מטרות וסמכויות. הקושי מתעורר בשני המבחנים האחרים, ובית הדין בוחן אותם לפי המהות ולא לפי הכותרות שבתקנון.</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ואינו שולל תנאים אישיים טובים יותר. מכאן שמטרה ד' אינה משקפת חשש אמיתי, אלא התנגדות עקרונית לייצוג קיבוצי בתנאים המהותיים.</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 המסקנה חלה גם כאן.</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והיא אינה יכולה לדרוש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במיוחד משום שמדובר במנהלים המשפיעים על הבונוסים, האופציות והקידום של אותם 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 האדם, חירותו ופרטיותו (סעיף 1; הילדסהימר, 2026ב).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הצעות חוזרות (סעיף 3(א)(3)) לא היו, והשאלה על נטייתו של אורי לא נשאלה בדרך מבזה (סעיף 3(א)(5)).</w:t>
      </w:r>
    </w:p>
    <w:p>
      <w:pPr>
        <w:bidi/>
        <w:spacing w:before="0" w:after="0"/>
        <w:jc w:val="both"/>
      </w:pPr>
      <w:r>
        <w:rPr>
          <w:sz w:val="24"/>
          <w:rtl/>
          <w:szCs w:val="24"/>
        </w:rPr>
        <w:t>השיחות התקיימו במשרד, ולכן ב"מסגרת יחסי עבודה". "הראה" פירושו במילים או בהתנהגות שאין ספק סביר לגבי משמעותה (הגדרות שבסעיף 2 לחוק), ואורי לא עשה כן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משתתפת בהחלטות השיבוץ ומשפיעה על קידום עובדים צעירים כמו אורי. לפי הלכת מדר אלה יחסי מרות, והשתתפותו של אורי בשיחות יכולה לנבוע מרצון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נקשרו למעמדו בעבודה, ולכן קשה לבסס כאן הטרדה מינית. אין זו גם </w:t>
      </w:r>
      <w:r>
        <w:rPr>
          <w:b/>
          <w:sz w:val="24"/>
          <w:rtl/>
          <w:szCs w:val="24"/>
          <w:bCs/>
        </w:rPr>
        <w:t>הטרדה סביבתית</w:t>
      </w:r>
      <w:r>
        <w:rPr>
          <w:sz w:val="24"/>
          <w:rtl/>
          <w:szCs w:val="24"/>
        </w:rPr>
        <w:t>, שכן ההתנהגות הופנתה לאורי בלבד.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מעסיק), התשנ"ח-1998</w:t>
      </w:r>
      <w:r>
        <w:rPr>
          <w:sz w:val="24"/>
          <w:rtl/>
          <w:szCs w:val="24"/>
        </w:rPr>
        <w:t xml:space="preserve">, עליה גם להתאים את התקנון לדוגמה ולפרסמו (תקנות 2(ג) ו-8), ולמנות </w:t>
      </w:r>
      <w:r>
        <w:rPr>
          <w:b/>
          <w:sz w:val="24"/>
          <w:rtl/>
          <w:szCs w:val="24"/>
          <w:bCs/>
        </w:rPr>
        <w:t>אחראי</w:t>
      </w:r>
      <w:r>
        <w:rPr>
          <w:sz w:val="24"/>
          <w:rtl/>
          <w:szCs w:val="24"/>
        </w:rPr>
        <w:t xml:space="preserve"> לקבלת תלונות ולבירורן (תקנה 4). נודע למעסיק על מקרה גם בלי תלונה, עליו להעבירו לבירור האחראי (תקנה 6(ט)).</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סעיף 7(א) לחוק שוויון ההזדמנויות בעבודה, התשמ"ח-1988</w:t>
      </w:r>
      <w:r>
        <w:rPr>
          <w:sz w:val="24"/>
          <w:rtl/>
          <w:szCs w:val="24"/>
        </w:rPr>
        <w:t>,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 אם יוכרו יחסי מרות, גם השאלה הבודדת על נטייתו של אורי עשויה להספיק. העברתו לצוות טכני חודש אחרי שביקש לסיים את השיחות, והשפעתה של דנה על השיבוץ, מעוררות חשד לקשר כזה. משהוכיח זאת אורי, עובר למעסיק הנטל להראות שלא פגע בו (סעיף 9(ב) לאותו חוק), אף שהעובדות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 שינוי ב"תיאור עיקרי התפקיד" מחייב גם הודעה בכתב לעובד בתוך 30 יום (סעיפים 2(א)(3) ו-3 ל</w:t>
      </w:r>
      <w:r>
        <w:rPr>
          <w:b/>
          <w:sz w:val="24"/>
          <w:rtl/>
          <w:szCs w:val="24"/>
          <w:bCs/>
        </w:rPr>
        <w:t>חוק הודעה לעובד ולמועמד לעבודה, התשס"ב-2002</w:t>
      </w:r>
      <w:r>
        <w:rPr>
          <w:sz w:val="24"/>
          <w:rtl/>
          <w:szCs w:val="24"/>
        </w:rPr>
        <w:t>), ובהיעדרה עובר למעסיק נטל ההוכחה בעניין השנוי במחלוקת (סעיף 5א).</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כלומר לעניין הזכאות לפיצויי פיטורים בלבד. הזכאות עצמה מותנית בשנת עבודה אחת ברציפות אצל אותו מעסיק (סעיף 1(א) לחוק), ומאחר שאורי "התקבל" לחברה ותקופת העסקתו אינה ידועה, יש לבדוק תחילה שתנאי זה מתקיים.</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אף שהתקופה קצרה מזו שבעניין גולן, השתיקה מלמדת על השלמה עם השינוי. גם "נסיבות אחרות" אינן מסייעות לו, שכן השיחות הסתיימו חודשים לפני ההתפטרות.</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גם אם יוכרו יחסי מרות לפי הלכת מדר, קשה להראות התייחסויות חוזרות למיניותו של אורי. טענת ההתנכלות חזקה יותר, בשל סעיפים 7 ו-9 לחוק שוויון ההזדמנויות. טענת ההתפטרות בדין מפוטר נכשלת בשל היעדר התראה והשיהוי (הלכת גולן). על Frame לוודא שיש לה תקנון מותאם ואחראי.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