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עדות אמפירית עדכנית לעומק התופעה מצויה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7"/>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18"/>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19"/>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0"/>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1"/>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2"/>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3"/>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4"/>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5"/>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6"/>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7"/>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28"/>
      </w:r>
      <w:r>
        <w:rPr>
          <w:rFonts w:ascii="David" w:cs="David" w:eastAsia="David" w:hAnsi="David"/>
          <w:sz w:val="24"/>
          <w:szCs w:val="24"/>
          <w:rtl/>
        </w:rPr>
        <w:t xml:space="preserve"> שנית, כותרת "בלתי חוזר" אינה מילת קסם.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29"/>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w:t>
      </w:r>
      <w:r>
        <w:rPr>
          <w:rStyle w:val="FootnoteReference"/>
        </w:rPr>
        <w:footnoteReference w:id="30"/>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1"/>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32"/>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33"/>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34"/>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35"/>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w:t>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36"/>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37"/>
      </w:r>
      <w:r>
        <w:rPr>
          <w:rFonts w:ascii="David" w:cs="David" w:eastAsia="David" w:hAnsi="David"/>
          <w:sz w:val="24"/>
          <w:szCs w:val="24"/>
          <w:rtl/>
        </w:rPr>
        <w:t xml:space="preserve"> הפסיקה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38"/>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39"/>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40"/>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41"/>
      </w:r>
    </w:p>
    <w:p>
      <w:pPr>
        <w:pStyle w:val="Heading2"/>
        <w:bidi/>
        <w:spacing w:after="180" w:before="280"/>
      </w:pPr>
      <w:r>
        <w:rPr>
          <w:rFonts w:ascii="David" w:cs="David" w:eastAsia="David" w:hAnsi="David"/>
          <w:b/>
          <w:bCs/>
          <w:color w:val="000000"/>
          <w:sz w:val="28"/>
          <w:szCs w:val="28"/>
          <w:rtl/>
        </w:rPr>
        <w:t xml:space="preserve">ג.7 בתי המשפט לענייני משפחה: המלאכה הלכה למעשה</w:t>
      </w:r>
    </w:p>
    <w:p>
      <w:pPr>
        <w:bidi/>
        <w:spacing w:after="160" w:line="360"/>
        <w:ind w:firstLine="420"/>
        <w:jc w:val="both"/>
      </w:pPr>
      <w:r>
        <w:rPr>
          <w:rFonts w:ascii="David" w:cs="David" w:eastAsia="David" w:hAnsi="David"/>
          <w:sz w:val="24"/>
          <w:szCs w:val="24"/>
          <w:rtl/>
        </w:rPr>
        <w:t xml:space="preserve">בערכאות המשפחה בצפון הארץ נפגשים כל הכלים הללו במקרים חיים. הכרעות בתי המשפט לענייני משפחה בנצרת מדגימות את המלאכה: שחזור עסקאות בנות עשרות שנים מתוך צירוף של ייפוי כוח ותיק, עדויות זקני המשפחה, וראיות שימוש והחזקה מתמשכות – תוך יישום דרישת הסיוע בתביעות נגד עיזבון וזהירות ראייתית מוקפדת.</w:t>
      </w:r>
      <w:r>
        <w:rPr>
          <w:rStyle w:val="FootnoteReference"/>
        </w:rPr>
        <w:footnoteReference w:id="42"/>
      </w:r>
      <w:r>
        <w:rPr>
          <w:rFonts w:ascii="David" w:cs="David" w:eastAsia="David" w:hAnsi="David"/>
          <w:sz w:val="24"/>
          <w:szCs w:val="24"/>
          <w:rtl/>
        </w:rPr>
        <w:t xml:space="preserve"> למשקלם המדויק של היתרי הבנייה, הארנונה והמסמכים ההיסטוריים – חומר הגלם הראייתי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43"/>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44"/>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45"/>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46"/>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47"/>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48"/>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49"/>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50"/>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51"/>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52"/>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53"/>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54"/>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55"/>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56"/>
      </w:r>
      <w:r>
        <w:rPr>
          <w:rFonts w:ascii="David" w:cs="David" w:eastAsia="David" w:hAnsi="David"/>
          <w:sz w:val="24"/>
          <w:szCs w:val="24"/>
          <w:rtl/>
        </w:rPr>
        <w:t xml:space="preserve"> התוצאה המבנית מרתקת: דווקא מפני שהמס "רואה" את העסקה ואת ההחזקה הבלתי רשומות, נוצר פער בין שני מרשמים – מרשם הזכויות, שבו העסקה אינה קיימת, ומרשם המס, שבו היא הייתה אמורה להיות מדווחת זה מכבר. פער זה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57"/>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58"/>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59"/>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60"/>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61"/>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62"/>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63"/>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64"/>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65"/>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66"/>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67"/>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68"/>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69"/>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70"/>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71"/>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72"/>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73"/>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74"/>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75"/>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76"/>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77"/>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78"/>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79"/>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80"/>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81"/>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82"/>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83"/>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84"/>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85"/>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86"/>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87"/>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88"/>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89"/>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90"/>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91"/>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92"/>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93"/>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94"/>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95"/>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96"/>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97"/>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98"/>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99"/>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100"/>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 הזכות שביושר, ייפוי הכוח הבלתי חוזר, זעקת ההגינות והרישיון –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אי־הרישום; אי־הרישום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 והמעגל שב ומתחיל.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 מהכרה בזכותה שביושר של רוכשת שהחזיקה בדירתה חמישים שנה בלא רישום,</w:t>
      </w:r>
      <w:r>
        <w:rPr>
          <w:rStyle w:val="FootnoteReference"/>
        </w:rPr>
        <w:footnoteReference w:id="101"/>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02"/>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 "זעקת ההגינות" מותנית ב"מקרים מיוחדים" שאין להם הגדרה, אי־הדירותו של רישיון תלויה בשקילה בדיעבד של השקעה וציפייה, וסיווגו של ייפוי כוח כמסמך עסקה תלוי בניסוחו של נוטריון משנות השבעים – ומשטר הנשען כולו על הערכה שיפוטית בדיעבד של הגינות והסתמכות מייצר תוצאות בלתי צפויות, המשתנות מתיק לתיק. שנית, אי־הוודאות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ושלישית – וזה החיבור שבין פרק ג לפרק ה, שאין להבינו אלא במשולב – הכלים כולם פועלים במישור הבין־אישי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 הסכסוך שהבשיל –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 הבטחה, הסתמכות, שינוי מצב לרעה ואי־מצפוניות שבהתכחשות – שסעדיה נדונים אף הם במסגרת שהתווה בית המשפט העליון הבריטי בפסיקה עקבית.</w:t>
      </w:r>
      <w:r>
        <w:rPr>
          <w:rStyle w:val="FootnoteReference"/>
        </w:rPr>
        <w:footnoteReference w:id="103"/>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 אך בלא המסגרת, ולכן בלא היכולת לבקר את הפעלתה ביקורת ערעורית אפקטיבית ובלא שהציבור יכול לכלכל צעדיו על פיה. מן הדין המצרי עולה הלקח ההפוך, והוא נוקב לא פחות: מקום שהמחוקק אינו מתקן את החסם המבני, שום תחכום של תחליפים – תַוְכּיל, תביעות אימות, ואפילו התיישנות רוכשת סטטוטורית – אינו בולם את קריסת המרשם, ותשעים אחוזי אי־רישום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 התפיסה – ולא על פנקס; ובחברה שבה ההחזקה הגלויה, הידועה לכל בני החמולה, היא עדיין מוסד חברתי חי, יש בתובנה זו כדי להצדיק – לא אימוץ הדוקטרינה כלשונה, אלא –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 והם חייבים לפעול בשלושת המישורים בעת ובעונה אחת, שכן המעגל שתואר לעיל אינו ניתן לשבירה בנקודה אחת בלבד. במישור החקיקתי־פיסקלי, פריצת המעגל מתחילה בנקודה שזיהתה מצרים: הוראת שעה להסדרת עסקאות פנים־משפחתיות היסטוריות, שתכלול ויתור על קנסות וריבית (להבדיל מקרן המס), תקרת חבות ומסלול שומה מקוצר לעסקאות שמסמכיהן אבדו. עלות הוויתור נמוכה משנדמה – המס ההיסטורי ממילא אינו נגבה, שכן העסקאות אינן מדווחות – ואילו התועלת, הכנסת דור שלם של נכסים למרשם ולבסיס המס העתידי, ניכרת.</w:t>
      </w:r>
      <w:r>
        <w:rPr>
          <w:rStyle w:val="FootnoteReference"/>
        </w:rPr>
        <w:footnoteReference w:id="104"/>
      </w:r>
      <w:r>
        <w:rPr>
          <w:rFonts w:ascii="David" w:cs="David" w:eastAsia="David" w:hAnsi="David"/>
          <w:sz w:val="24"/>
          <w:szCs w:val="24"/>
          <w:rtl/>
        </w:rPr>
        <w:t xml:space="preserve"> במישור המוסדי, יש להשלים את הליכי הסדר הזכויות ביישובים הערביים שבהם לא הושלמו – הפעם בשיתוף הקהילות ובהכרה מפורשת בראיות ההחזקה והתיעוד המסורתיות, שההתעלמות מהן היא שהרחיקה את הציבור מן ההליכים מלכתחילה –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05"/>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 הזירה המרכזית של סכסוכים אלה –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מיסים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18">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19">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0">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1">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2">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3">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4">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26">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7">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28">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(מהדורה שנייה, 1996).</w:t>
      </w:r>
    </w:p>
  </w:footnote>
  <w:footnote w:id="29">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w:t>
      </w:r>
    </w:p>
  </w:footnote>
  <w:footnote w:id="31">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2">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33">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344 ואילך.</w:t>
      </w:r>
    </w:p>
  </w:footnote>
  <w:footnote w:id="34">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35">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36">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37">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38">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39">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40">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פרק שנים-עשר (2014).</w:t>
      </w:r>
    </w:p>
  </w:footnote>
  <w:footnote w:id="41">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40</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37</w:t>
      </w:r>
      <w:r>
        <w:rPr>
          <w:rFonts w:ascii="David" w:cs="David" w:eastAsia="David" w:hAnsi="David"/>
          <w:sz w:val="20"/>
          <w:szCs w:val="20"/>
          <w:rtl/>
        </w:rPr>
        <w:t xml:space="preserve">, לעניין היחס בין רישיון לחזקה.</w:t>
      </w:r>
    </w:p>
  </w:footnote>
  <w:footnote w:id="42">
    <w:p>
      <w:pPr>
        <w:bidi/>
        <w:spacing w:after="60"/>
      </w:pPr>
      <w:r>
        <w:rPr>
          <w:rStyle w:val="FootnoteReference"/>
        </w:rPr>
        <w:footnoteRef/>
      </w:r>
      <w:r>
        <w:rPr>
          <w:rFonts w:ascii="David" w:cs="David" w:eastAsia="David" w:hAnsi="David"/>
          <w:sz w:val="20"/>
          <w:szCs w:val="20"/>
          <w:rtl/>
        </w:rPr>
        <w:t xml:space="preserve">ראו למשל 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2021);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43">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31</w:t>
      </w:r>
      <w:r>
        <w:rPr>
          <w:rFonts w:ascii="David" w:cs="David" w:eastAsia="David" w:hAnsi="David"/>
          <w:sz w:val="20"/>
          <w:szCs w:val="20"/>
          <w:rtl/>
        </w:rPr>
        <w:t xml:space="preserve">.</w:t>
      </w:r>
    </w:p>
  </w:footnote>
  <w:footnote w:id="44">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45">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42</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38</w:t>
      </w:r>
      <w:r>
        <w:rPr>
          <w:rFonts w:ascii="David" w:cs="David" w:eastAsia="David" w:hAnsi="David"/>
          <w:sz w:val="20"/>
          <w:szCs w:val="20"/>
          <w:rtl/>
        </w:rPr>
        <w:t xml:space="preserve">.</w:t>
      </w:r>
    </w:p>
  </w:footnote>
  <w:footnote w:id="46">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47">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48">
    <w:p>
      <w:pPr>
        <w:bidi/>
        <w:spacing w:after="60"/>
      </w:pPr>
      <w:r>
        <w:rPr>
          <w:rStyle w:val="FootnoteReference"/>
        </w:rPr>
        <w:footnoteRef/>
      </w:r>
      <w:r>
        <w:rPr>
          <w:rFonts w:ascii="David" w:cs="David" w:eastAsia="David" w:hAnsi="David"/>
          <w:sz w:val="20"/>
          <w:szCs w:val="20"/>
          <w:rtl/>
        </w:rPr>
        <w:t xml:space="preserve">ס׳ 54(4) לפקודת הראיות [נוסח חדש], התשל"א-1971.</w:t>
      </w:r>
    </w:p>
  </w:footnote>
  <w:footnote w:id="49">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50">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51">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בעמ׳ 282.</w:t>
      </w:r>
    </w:p>
  </w:footnote>
  <w:footnote w:id="52">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53">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54">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55">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בעמ׳ 151.</w:t>
      </w:r>
    </w:p>
  </w:footnote>
  <w:footnote w:id="56">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מיסים כט(3) ה-320 (2015); 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בעמ׳ 153–154.</w:t>
      </w:r>
    </w:p>
  </w:footnote>
  <w:footnote w:id="57">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w:t>
      </w:r>
    </w:p>
  </w:footnote>
  <w:footnote w:id="58">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בעמ׳ 282–284, והפסיקה הנסקרת שם.</w:t>
      </w:r>
    </w:p>
  </w:footnote>
  <w:footnote w:id="59">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51</w:t>
      </w:r>
      <w:r>
        <w:rPr>
          <w:rFonts w:ascii="David" w:cs="David" w:eastAsia="David" w:hAnsi="David"/>
          <w:sz w:val="20"/>
          <w:szCs w:val="20"/>
          <w:rtl/>
        </w:rPr>
        <w:t xml:space="preserve">.</w:t>
      </w:r>
    </w:p>
  </w:footnote>
  <w:footnote w:id="60">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61">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 שבו לא נזקפה ההתנהלות הבלתי פורמלית רבת-השנים לחובת הרוכשת.</w:t>
      </w:r>
    </w:p>
  </w:footnote>
  <w:footnote w:id="62">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63">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64">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65">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66">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67">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68">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69">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70">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71">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32</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72">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73">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74">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75">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76">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77">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78">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60</w:t>
      </w:r>
      <w:r>
        <w:rPr>
          <w:rFonts w:ascii="David" w:cs="David" w:eastAsia="David" w:hAnsi="David"/>
          <w:sz w:val="20"/>
          <w:szCs w:val="20"/>
          <w:rtl/>
        </w:rPr>
        <w:t xml:space="preserve">.</w:t>
      </w:r>
    </w:p>
  </w:footnote>
  <w:footnote w:id="79">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80">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81">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82">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83">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84">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75</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85">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86">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87">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88">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89">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90">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91">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92">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93">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94">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95">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96">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97">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98">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99">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00">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0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102">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103">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70</w:t>
      </w:r>
      <w:r>
        <w:rPr>
          <w:rFonts w:ascii="David" w:cs="David" w:eastAsia="David" w:hAnsi="David"/>
          <w:sz w:val="20"/>
          <w:szCs w:val="20"/>
          <w:rtl/>
        </w:rPr>
        <w:t xml:space="preserve">.</w:t>
      </w:r>
    </w:p>
  </w:footnote>
  <w:footnote w:id="104">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05">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2026-08-28T06:22:38.373Z</dcterms:created>
  <dcterms:modified xsi:type="dcterms:W3CDTF">2026-08-28T06:22:38.387Z</dcterms:modified>
</cp:coreProperties>
</file>

<file path=docProps/custom.xml><?xml version="1.0" encoding="utf-8"?>
<Properties xmlns="http://schemas.openxmlformats.org/officeDocument/2006/custom-properties" xmlns:vt="http://schemas.openxmlformats.org/officeDocument/2006/docPropsVTypes"/>
</file>