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للبحث: __\__\2026م</w:t>
      </w:r>
    </w:p>
    <w:p>
      <w:pPr>
        <w:pageBreakBefore/>
      </w:pPr>
    </w:p>
    <w:p/>
    <w:p/>
    <w:p/>
    <w:p>
      <w:pPr>
        <w:bidi/>
        <w:spacing w:after="80" w:line="300"/>
        <w:jc w:val="center"/>
      </w:pPr>
      <w:r>
        <w:rPr>
          <w:rFonts w:ascii="Simplified Arabic" w:cs="Simplified Arabic" w:eastAsia="Simplified Arabic" w:hAnsi="Simplified Arabic"/>
          <w:b/>
          <w:bCs/>
          <w:sz w:val="32"/>
          <w:szCs w:val="32"/>
          <w:rtl/>
        </w:rPr>
        <w:t xml:space="preserve">تصريح النزاهة العلميّة</w:t>
      </w:r>
    </w:p>
    <w:p>
      <w:pPr>
        <w:bidi/>
        <w:spacing w:after="80" w:line="300"/>
        <w:jc w:val="center"/>
      </w:pPr>
      <w:r>
        <w:rPr>
          <w:rFonts w:ascii="Simplified Arabic" w:cs="Simplified Arabic" w:eastAsia="Simplified Arabic" w:hAnsi="Simplified Arabic"/>
          <w:b/>
          <w:bCs/>
          <w:sz w:val="26"/>
          <w:szCs w:val="26"/>
          <w:rtl/>
        </w:rPr>
        <w:t xml:space="preserve">وعدم الغشّ في كتابة وظيفة الحلقة الدراسيّة (سيمينار) في موضوع الدين الإسلاميّ</w:t>
      </w:r>
    </w:p>
    <w:p/>
    <w:p/>
    <w:p>
      <w:pPr>
        <w:bidi/>
        <w:spacing w:after="0" w:line="480"/>
        <w:jc w:val="both"/>
      </w:pPr>
      <w:r>
        <w:rPr>
          <w:rFonts w:ascii="Simplified Arabic" w:cs="Simplified Arabic" w:eastAsia="Simplified Arabic" w:hAnsi="Simplified Arabic"/>
          <w:b w:val="false"/>
          <w:bCs w:val="false"/>
          <w:sz w:val="28"/>
          <w:szCs w:val="28"/>
          <w:rtl/>
        </w:rPr>
        <w:t xml:space="preserve">أنا الموقّع أدناه، الطالب عبد المهدي دحلة، حامل بطاقة الهويّة رقم 212684527، الدارس في أكاديميّة القاسمي - كلّيّة أكاديميّة للتربية، أصرّح بما يأتي: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هذا البحث الموسوم بـ"الأحكام الفقهيّة المتعلقة بنزع الأجهزة الطبيّة عن الميت سريريًّا - دراسة فقهيّة طبيّة قانونيّة مقارنة" هو من إعدادي وكتابتي.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أنّني التزمت النزاهة العلميّة في جميع مراحل إعداد البحث، فلم أرتكب غشًّا ولا انتحالًا، ولم أنسب إلى نفسي شيئًا من أقوال غيري.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جميع الاقتباسات والأفكار المأخوذة من المصادر والمراجع قد وثّقتها توثيقًا علميًّا كاملًا في حواشي البحث وقائمة مصادره.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أنّني أتحمّل المسؤوليّة الكاملة عن مضمون هذا البحث أمام الكلّيّة والمساق.</w:t>
      </w:r>
    </w:p>
    <w:p/>
    <w:p/>
    <w:p>
      <w:pPr>
        <w:bidi/>
        <w:spacing w:after="0" w:line="480"/>
        <w:jc w:val="both"/>
      </w:pPr>
      <w:r>
        <w:rPr>
          <w:rFonts w:ascii="Simplified Arabic" w:cs="Simplified Arabic" w:eastAsia="Simplified Arabic" w:hAnsi="Simplified Arabic"/>
          <w:b/>
          <w:bCs/>
          <w:sz w:val="28"/>
          <w:szCs w:val="28"/>
          <w:rtl/>
        </w:rPr>
        <w:t xml:space="preserve">اسم الطالب: </w:t>
      </w:r>
      <w:r>
        <w:rPr>
          <w:rFonts w:ascii="Simplified Arabic" w:cs="Simplified Arabic" w:eastAsia="Simplified Arabic" w:hAnsi="Simplified Arabic"/>
          <w:b w:val="false"/>
          <w:bCs w:val="false"/>
          <w:sz w:val="28"/>
          <w:szCs w:val="28"/>
          <w:rtl/>
        </w:rPr>
        <w:t xml:space="preserve">عبد المهدي دحلة        </w:t>
      </w:r>
      <w:r>
        <w:rPr>
          <w:rFonts w:ascii="Simplified Arabic" w:cs="Simplified Arabic" w:eastAsia="Simplified Arabic" w:hAnsi="Simplified Arabic"/>
          <w:b/>
          <w:bCs/>
          <w:sz w:val="28"/>
          <w:szCs w:val="28"/>
          <w:rtl/>
        </w:rPr>
        <w:t xml:space="preserve">رقم الهويّة: </w:t>
      </w:r>
      <w:r>
        <w:rPr>
          <w:rFonts w:ascii="Simplified Arabic" w:cs="Simplified Arabic" w:eastAsia="Simplified Arabic" w:hAnsi="Simplified Arabic"/>
          <w:b w:val="false"/>
          <w:bCs w:val="false"/>
          <w:sz w:val="28"/>
          <w:szCs w:val="28"/>
          <w:rtl/>
        </w:rPr>
        <w:t xml:space="preserve">212684527</w:t>
      </w:r>
    </w:p>
    <w:p>
      <w:pPr>
        <w:bidi/>
        <w:spacing w:after="0" w:line="480"/>
        <w:jc w:val="both"/>
      </w:pPr>
      <w:r>
        <w:rPr>
          <w:rFonts w:ascii="Simplified Arabic" w:cs="Simplified Arabic" w:eastAsia="Simplified Arabic" w:hAnsi="Simplified Arabic"/>
          <w:b/>
          <w:bCs/>
          <w:sz w:val="28"/>
          <w:szCs w:val="28"/>
          <w:rtl/>
        </w:rPr>
        <w:t xml:space="preserve">التوقيع: </w:t>
      </w:r>
      <w:r>
        <w:rPr>
          <w:rFonts w:ascii="Simplified Arabic" w:cs="Simplified Arabic" w:eastAsia="Simplified Arabic" w:hAnsi="Simplified Arabic"/>
          <w:b w:val="false"/>
          <w:bCs w:val="false"/>
          <w:sz w:val="28"/>
          <w:szCs w:val="28"/>
          <w:rtl/>
        </w:rPr>
        <w:t xml:space="preserve">____________        </w:t>
      </w:r>
      <w:r>
        <w:rPr>
          <w:rFonts w:ascii="Simplified Arabic" w:cs="Simplified Arabic" w:eastAsia="Simplified Arabic" w:hAnsi="Simplified Arabic"/>
          <w:b/>
          <w:bCs/>
          <w:sz w:val="28"/>
          <w:szCs w:val="28"/>
          <w:rtl/>
        </w:rPr>
        <w:t xml:space="preserve">التاريخ: </w:t>
      </w:r>
      <w:r>
        <w:rPr>
          <w:rFonts w:ascii="Simplified Arabic" w:cs="Simplified Arabic" w:eastAsia="Simplified Arabic" w:hAnsi="Simplified Arabic"/>
          <w:b w:val="false"/>
          <w:bCs w:val="false"/>
          <w:sz w:val="28"/>
          <w:szCs w:val="28"/>
          <w:rtl/>
        </w:rPr>
        <w:t xml:space="preserve">____ / ____ / 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فهرس موضوعات البحث</w:t>
      </w:r>
    </w:p>
    <w:p>
      <w:pPr>
        <w:bidi/>
        <w:spacing w:after="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عشر: الحياة.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عشر: الحياة المستقرّة.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عشر: الروح.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عشر: الوفاة.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عشر: حرمة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عشر: المريض الميؤوس من شفائه.</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عشر: الضرر والضرورة الشرعيّة.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العشرون: تخطيط كهربيّة الدماغ (EEG).</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والعشرون: اختبار انقطاع النفَس (Apnea Test).</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والعشرون: التوجيهات الطبيّة المسبقة.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ageBreakBefore/>
      </w:pPr>
    </w:p>
    <w:p/>
    <w:p/>
    <w:p/>
    <w:p/>
    <w:p/>
    <w:p/>
    <w:p>
      <w:pPr>
        <w:bidi/>
        <w:spacing w:after="80" w:line="300"/>
        <w:jc w:val="center"/>
      </w:pPr>
      <w:r>
        <w:rPr>
          <w:rFonts w:ascii="Simplified Arabic" w:cs="Simplified Arabic" w:eastAsia="Simplified Arabic" w:hAnsi="Simplified Arabic"/>
          <w:b/>
          <w:bCs/>
          <w:sz w:val="36"/>
          <w:szCs w:val="36"/>
          <w:rtl/>
        </w:rPr>
        <w:t xml:space="preserve">خطّة البحث بعد التعديل</w:t>
      </w:r>
    </w:p>
    <w:p/>
    <w:p/>
    <w:p>
      <w:pPr>
        <w:bidi/>
        <w:spacing w:after="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وثالثها استعراض الآثار المترتبة على المسألة؛ ورابعها التأصيل والتحرير والموازنة بين الأقوال، وهو قلب البحث؛ وخامسها عرض الفتاوى والقرارات الرسميّة بنصوصها والتعقيب عليها. وفيما يأتي عناصر الخطّة المعدّلة وفق ملاحظات المحاضر: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حدود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cs3rjpir-5lu2syqzqs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_eka93sna7v0tne68d6p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9kdtgxhsnorvrm8icmdh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e_q7xpzgzay7bvbveix4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e-nisa3r9_jwyajgyaf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0zgpup7foi60p_4i2hwk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fkqnvlrwwubwcizwthnl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8j694n3v6wtjhxvuqv7b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zftf7rmqt7qtx-aynl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n8iryjh7qfooqbcnixw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hcyyqm6hw5jimjkauvpk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0bmgaszoug2ks0fjkiu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1c94z1llozap1mb38qqj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2izkk0yserphzwhfeyq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nepcnwzm075mvopulds7">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8mbfv3pu_p4fxtutj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17. التعريف الطبيّ للموت</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cedi7hhixhzd9nu7zmqh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العربيّة السبع عشرة، أرى أنّ البحث العربيّ في هذه النازلة انتقل في العقد الأخير من سؤال (ما حكم رفع الأجهزة؟) إلى أسئلة أدقّ: تكييف الموت الدماغيّ، وأثر النيابة في القرار الطبيّ، ومسؤوليّة الطبيب الجنائيّة؛ مع أنّ الدراسات لم تعالج بعدُ واقع المستشفيات في بلادنا إلا نادرًا، وهي الفجوة التي يتوجّه إليها بحثي.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a09u-5vwsdgeqzjiifmt1">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fyibphxlphtjqcoqhf1px">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gbhmngnqnaz3jfzmiqm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veyysid_jvob_maazd5w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6gbehsy99sgyqufgfeyv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c_juchtotp4q66irhoyq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ps6v2xq-yd5qtt9itob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oezxz-he3umx5r_pjoh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0f4rtuipfblej4fp-afq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vae2w79ks_zf5dqhqhab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الأجنبيّة العشر، أعتقد أنّ الجدل الغربيّ حول الموت الدماغيّ لم يُحسم هو الآخر؛ فالاعتراضات التي سجّلها باحثون معاصرون على التعريف العصبيّ للموت تشبه في جوهرها اعتراضات الفقهاء المانعين، وهو تشابه يدلّ على أنّ السؤال إنسانيّ عابر للثقافات وليس إشكالًا إسلاميًّا خاصًّا.</w:t>
      </w:r>
    </w:p>
    <w:p>
      <w:pPr>
        <w:pageBreakBefore/>
      </w:pPr>
    </w:p>
    <w:p/>
    <w:p/>
    <w:p/>
    <w:p/>
    <w:p/>
    <w:p/>
    <w:p>
      <w:pPr>
        <w:bidi/>
        <w:spacing w:after="80" w:line="300"/>
        <w:jc w:val="center"/>
      </w:pPr>
      <w:r>
        <w:rPr>
          <w:rFonts w:ascii="Simplified Arabic" w:cs="Simplified Arabic" w:eastAsia="Simplified Arabic" w:hAnsi="Simplified Arabic"/>
          <w:b/>
          <w:bCs/>
          <w:sz w:val="34"/>
          <w:szCs w:val="34"/>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الأحكام.</w:t>
      </w:r>
    </w:p>
    <w:p>
      <w:pPr>
        <w:bidi/>
        <w:spacing w:after="80" w:line="300"/>
        <w:jc w:val="center"/>
      </w:pPr>
      <w:r>
        <w:rPr>
          <w:rFonts w:ascii="Simplified Arabic" w:cs="Simplified Arabic" w:eastAsia="Simplified Arabic" w:hAnsi="Simplified Arabic"/>
          <w:b/>
          <w:bCs/>
          <w:sz w:val="28"/>
          <w:szCs w:val="28"/>
          <w:rtl/>
        </w:rPr>
        <w:t xml:space="preserve">المطلب الثاني: الفقهيّة.</w:t>
      </w:r>
    </w:p>
    <w:p>
      <w:pPr>
        <w:bidi/>
        <w:spacing w:after="80" w:line="300"/>
        <w:jc w:val="center"/>
      </w:pPr>
      <w:r>
        <w:rPr>
          <w:rFonts w:ascii="Simplified Arabic" w:cs="Simplified Arabic" w:eastAsia="Simplified Arabic" w:hAnsi="Simplified Arabic"/>
          <w:b/>
          <w:bCs/>
          <w:sz w:val="28"/>
          <w:szCs w:val="28"/>
          <w:rtl/>
        </w:rPr>
        <w:t xml:space="preserve">المطلب الثالث: النزع.</w:t>
      </w:r>
    </w:p>
    <w:p>
      <w:pPr>
        <w:bidi/>
        <w:spacing w:after="80" w:line="30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80" w:line="300"/>
        <w:jc w:val="center"/>
      </w:pPr>
      <w:r>
        <w:rPr>
          <w:rFonts w:ascii="Simplified Arabic" w:cs="Simplified Arabic" w:eastAsia="Simplified Arabic" w:hAnsi="Simplified Arabic"/>
          <w:b/>
          <w:bCs/>
          <w:sz w:val="28"/>
          <w:szCs w:val="28"/>
          <w:rtl/>
        </w:rPr>
        <w:t xml:space="preserve">المطلب الخامس: الميت.</w:t>
      </w:r>
    </w:p>
    <w:p>
      <w:pPr>
        <w:bidi/>
        <w:spacing w:after="80" w:line="300"/>
        <w:jc w:val="center"/>
      </w:pPr>
      <w:r>
        <w:rPr>
          <w:rFonts w:ascii="Simplified Arabic" w:cs="Simplified Arabic" w:eastAsia="Simplified Arabic" w:hAnsi="Simplified Arabic"/>
          <w:b/>
          <w:bCs/>
          <w:sz w:val="28"/>
          <w:szCs w:val="28"/>
          <w:rtl/>
        </w:rPr>
        <w:t xml:space="preserve">المطلب السادس: سريريًّا.</w:t>
      </w:r>
    </w:p>
    <w:p>
      <w:pPr>
        <w:bidi/>
        <w:spacing w:after="80" w:line="30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60" w:before="12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80" w:line="30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80" w:line="30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80" w:line="30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80" w:line="300"/>
        <w:jc w:val="center"/>
      </w:pPr>
      <w:r>
        <w:rPr>
          <w:rFonts w:ascii="Simplified Arabic" w:cs="Simplified Arabic" w:eastAsia="Simplified Arabic" w:hAnsi="Simplified Arabic"/>
          <w:b/>
          <w:bCs/>
          <w:sz w:val="28"/>
          <w:szCs w:val="28"/>
          <w:rtl/>
        </w:rPr>
        <w:t xml:space="preserve">المطلب الخامس: الاحتضار.</w:t>
      </w:r>
    </w:p>
    <w:p>
      <w:pPr>
        <w:bidi/>
        <w:spacing w:after="80" w:line="30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80" w:line="30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80" w:line="30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80" w:line="300"/>
        <w:jc w:val="center"/>
      </w:pPr>
      <w:r>
        <w:rPr>
          <w:rFonts w:ascii="Simplified Arabic" w:cs="Simplified Arabic" w:eastAsia="Simplified Arabic" w:hAnsi="Simplified Arabic"/>
          <w:b/>
          <w:bCs/>
          <w:sz w:val="28"/>
          <w:szCs w:val="28"/>
          <w:rtl/>
        </w:rPr>
        <w:t xml:space="preserve">المطلب التاسع: جذع الدماغ.</w:t>
      </w:r>
    </w:p>
    <w:p>
      <w:pPr>
        <w:bidi/>
        <w:spacing w:after="80" w:line="300"/>
        <w:jc w:val="center"/>
      </w:pPr>
      <w:r>
        <w:rPr>
          <w:rFonts w:ascii="Simplified Arabic" w:cs="Simplified Arabic" w:eastAsia="Simplified Arabic" w:hAnsi="Simplified Arabic"/>
          <w:b/>
          <w:bCs/>
          <w:sz w:val="28"/>
          <w:szCs w:val="28"/>
          <w:rtl/>
        </w:rPr>
        <w:t xml:space="preserve">المطلب العاشر: الغيبوبة.</w:t>
      </w:r>
    </w:p>
    <w:p>
      <w:pPr>
        <w:bidi/>
        <w:spacing w:after="80" w:line="30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80" w:line="300"/>
        <w:jc w:val="center"/>
      </w:pPr>
      <w:r>
        <w:rPr>
          <w:rFonts w:ascii="Simplified Arabic" w:cs="Simplified Arabic" w:eastAsia="Simplified Arabic" w:hAnsi="Simplified Arabic"/>
          <w:b/>
          <w:bCs/>
          <w:sz w:val="28"/>
          <w:szCs w:val="28"/>
          <w:rtl/>
        </w:rPr>
        <w:t xml:space="preserve">المطلب الثاني عشر: العلاج التلطيفيّ.</w:t>
      </w:r>
    </w:p>
    <w:p>
      <w:pPr>
        <w:bidi/>
        <w:spacing w:after="80" w:line="300"/>
        <w:jc w:val="center"/>
      </w:pPr>
      <w:r>
        <w:rPr>
          <w:rFonts w:ascii="Simplified Arabic" w:cs="Simplified Arabic" w:eastAsia="Simplified Arabic" w:hAnsi="Simplified Arabic"/>
          <w:b/>
          <w:bCs/>
          <w:sz w:val="28"/>
          <w:szCs w:val="28"/>
          <w:rtl/>
        </w:rPr>
        <w:t xml:space="preserve">المطلب الثالث عشر: الحياة.</w:t>
      </w:r>
    </w:p>
    <w:p>
      <w:pPr>
        <w:bidi/>
        <w:spacing w:after="80" w:line="300"/>
        <w:jc w:val="center"/>
      </w:pPr>
      <w:r>
        <w:rPr>
          <w:rFonts w:ascii="Simplified Arabic" w:cs="Simplified Arabic" w:eastAsia="Simplified Arabic" w:hAnsi="Simplified Arabic"/>
          <w:b/>
          <w:bCs/>
          <w:sz w:val="28"/>
          <w:szCs w:val="28"/>
          <w:rtl/>
        </w:rPr>
        <w:t xml:space="preserve">المطلب الرابع عشر: الحياة المستقرّة.</w:t>
      </w:r>
    </w:p>
    <w:p>
      <w:pPr>
        <w:bidi/>
        <w:spacing w:after="80" w:line="300"/>
        <w:jc w:val="center"/>
      </w:pPr>
      <w:r>
        <w:rPr>
          <w:rFonts w:ascii="Simplified Arabic" w:cs="Simplified Arabic" w:eastAsia="Simplified Arabic" w:hAnsi="Simplified Arabic"/>
          <w:b/>
          <w:bCs/>
          <w:sz w:val="28"/>
          <w:szCs w:val="28"/>
          <w:rtl/>
        </w:rPr>
        <w:t xml:space="preserve">المطلب الخامس عشر: الروح.</w:t>
      </w:r>
    </w:p>
    <w:p>
      <w:pPr>
        <w:bidi/>
        <w:spacing w:after="80" w:line="300"/>
        <w:jc w:val="center"/>
      </w:pPr>
      <w:r>
        <w:rPr>
          <w:rFonts w:ascii="Simplified Arabic" w:cs="Simplified Arabic" w:eastAsia="Simplified Arabic" w:hAnsi="Simplified Arabic"/>
          <w:b/>
          <w:bCs/>
          <w:sz w:val="28"/>
          <w:szCs w:val="28"/>
          <w:rtl/>
        </w:rPr>
        <w:t xml:space="preserve">المطلب السادس عشر: الوفاة.</w:t>
      </w:r>
    </w:p>
    <w:p>
      <w:pPr>
        <w:bidi/>
        <w:spacing w:after="80" w:line="300"/>
        <w:jc w:val="center"/>
      </w:pPr>
      <w:r>
        <w:rPr>
          <w:rFonts w:ascii="Simplified Arabic" w:cs="Simplified Arabic" w:eastAsia="Simplified Arabic" w:hAnsi="Simplified Arabic"/>
          <w:b/>
          <w:bCs/>
          <w:sz w:val="28"/>
          <w:szCs w:val="28"/>
          <w:rtl/>
        </w:rPr>
        <w:t xml:space="preserve">المطلب السابع عشر: حرمة الميت.</w:t>
      </w:r>
    </w:p>
    <w:p>
      <w:pPr>
        <w:bidi/>
        <w:spacing w:after="80" w:line="300"/>
        <w:jc w:val="center"/>
      </w:pPr>
      <w:r>
        <w:rPr>
          <w:rFonts w:ascii="Simplified Arabic" w:cs="Simplified Arabic" w:eastAsia="Simplified Arabic" w:hAnsi="Simplified Arabic"/>
          <w:b/>
          <w:bCs/>
          <w:sz w:val="28"/>
          <w:szCs w:val="28"/>
          <w:rtl/>
        </w:rPr>
        <w:t xml:space="preserve">المطلب الثامن عشر: المريض الميؤوس من شفائه.</w:t>
      </w:r>
    </w:p>
    <w:p>
      <w:pPr>
        <w:bidi/>
        <w:spacing w:after="80" w:line="300"/>
        <w:jc w:val="center"/>
      </w:pPr>
      <w:r>
        <w:rPr>
          <w:rFonts w:ascii="Simplified Arabic" w:cs="Simplified Arabic" w:eastAsia="Simplified Arabic" w:hAnsi="Simplified Arabic"/>
          <w:b/>
          <w:bCs/>
          <w:sz w:val="28"/>
          <w:szCs w:val="28"/>
          <w:rtl/>
        </w:rPr>
        <w:t xml:space="preserve">المطلب التاسع عشر: الضرر والضرورة الشرعيّة.</w:t>
      </w:r>
    </w:p>
    <w:p>
      <w:pPr>
        <w:bidi/>
        <w:spacing w:after="80" w:line="300"/>
        <w:jc w:val="center"/>
      </w:pPr>
      <w:r>
        <w:rPr>
          <w:rFonts w:ascii="Simplified Arabic" w:cs="Simplified Arabic" w:eastAsia="Simplified Arabic" w:hAnsi="Simplified Arabic"/>
          <w:b/>
          <w:bCs/>
          <w:sz w:val="28"/>
          <w:szCs w:val="28"/>
          <w:rtl/>
        </w:rPr>
        <w:t xml:space="preserve">المطلب العشرون: تخطيط كهربيّة الدماغ (EEG).</w:t>
      </w:r>
    </w:p>
    <w:p>
      <w:pPr>
        <w:bidi/>
        <w:spacing w:after="80" w:line="300"/>
        <w:jc w:val="center"/>
      </w:pPr>
      <w:r>
        <w:rPr>
          <w:rFonts w:ascii="Simplified Arabic" w:cs="Simplified Arabic" w:eastAsia="Simplified Arabic" w:hAnsi="Simplified Arabic"/>
          <w:b/>
          <w:bCs/>
          <w:sz w:val="28"/>
          <w:szCs w:val="28"/>
          <w:rtl/>
        </w:rPr>
        <w:t xml:space="preserve">المطلب الحادي والعشرون: اختبار انقطاع النفَس (Apnea Test).</w:t>
      </w:r>
    </w:p>
    <w:p>
      <w:pPr>
        <w:bidi/>
        <w:spacing w:after="80" w:line="300"/>
        <w:jc w:val="center"/>
      </w:pPr>
      <w:r>
        <w:rPr>
          <w:rFonts w:ascii="Simplified Arabic" w:cs="Simplified Arabic" w:eastAsia="Simplified Arabic" w:hAnsi="Simplified Arabic"/>
          <w:b/>
          <w:bCs/>
          <w:sz w:val="28"/>
          <w:szCs w:val="28"/>
          <w:rtl/>
        </w:rPr>
        <w:t xml:space="preserve">المطلب الثاني والعشرون: التوجيهات الطبيّة المسبقة.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المصادر الطبيّة في هذا المطلب، أرى أنّ نسب نجاح الإنعاش القلبيّ الرئويّ المتواضعة التي تذكرها الأدبيّات الطبيّة معلومة جوهريّة للبحث الفقهيّ؛ فكثير من الناس يتصوّر الإنعاش عملًا منقذًا في كلّ حال، والواقع أنه إجراء احتماليّ تتفاوت جدواه بحسب سرعة التدخّل وحال المريض، وهذا التفاوت هو الذي يفتح باب الموازنة الفقهيّة بين العلاج المرجوّ والتكلّف المرجوح.</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تعريف الحالة النباتيّة، أعتقد أنّ الفرق بينها وبين الموت الدماغيّ هو أخطر مواضع الالتباس في النازلة كلّها: فصاحب الحالة النباتيّة حيّ بجذع دماغٍ عامل، يتنفّس بنفسه وقد يستيقظ، والميت دماغيًّا تعطّل دماغه كلّه بلا رجعة؛ والخلط بينهما في الإعلام وبعض الكتابات يُدخل في المسألة صورًا ليست منها.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مطلب زراعة الأعضاء، أرى أنّ ارتباط تشخيص الموت الدماغيّ تاريخيًّا بالحاجة إلى الأعضاء سلاحٌ ذو حدّين: فهو من جهة دفع الطبّ إلى ضبط معايير صارمة للتشخيص، ومن جهة أخرى أورث عند بعض الناس ريبةً في أنّ التعريف صيغ لغاية نفعيّة، وهذه الريبة نفسها ممّا يجب أن يجيب عنه الضبطُ المؤسّسيّ للتشخيص لا تجاهلُه.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مطلب الغيبوبة، أعتقد أنّ تدرّج درجات الغيبوبة الذي يعتمده الأطباء يقدّم للفقيه خدمة منهجيّة مهمّة: فهو يحوّل وصف (فاقد الوعي) المجمل إلى مراتب مضبوطة، وبناء الحكم الشرعيّ على مرتبة مضبوطة أسلم من بنائه على وصف عامّ تتفاوت صوره.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عشر: الحياة.</w:t>
      </w:r>
    </w:p>
    <w:p>
      <w:pPr>
        <w:bidi/>
        <w:spacing w:after="0" w:line="480"/>
        <w:jc w:val="both"/>
      </w:pPr>
      <w:r>
        <w:rPr>
          <w:rFonts w:ascii="Simplified Arabic" w:cs="Simplified Arabic" w:eastAsia="Simplified Arabic" w:hAnsi="Simplified Arabic"/>
          <w:b w:val="false"/>
          <w:bCs w:val="false"/>
          <w:sz w:val="28"/>
          <w:szCs w:val="28"/>
          <w:rtl/>
        </w:rPr>
        <w:t xml:space="preserve">الحياة في اللغة: نقيض الموت</w:t>
      </w:r>
      <w:r>
        <w:rPr>
          <w:rStyle w:val="FootnoteReference"/>
        </w:rPr>
        <w:footnoteReference w:id="43"/>
      </w:r>
      <w:r>
        <w:rPr>
          <w:rFonts w:ascii="Simplified Arabic" w:cs="Simplified Arabic" w:eastAsia="Simplified Arabic" w:hAnsi="Simplified Arabic"/>
          <w:b w:val="false"/>
          <w:bCs w:val="false"/>
          <w:sz w:val="28"/>
          <w:szCs w:val="28"/>
          <w:rtl/>
        </w:rPr>
        <w:t xml:space="preserve">. وفي اصطلاح الفقهاء تنقسم حياة المصاب إلى حياة مستقرّة يبقى معها إدراك ونطق وحركة اختياريّة، وحياة غير مستقرّة هي حركة المذبوح التي لا يترتّب عليها أحكام الأحياء</w:t>
      </w:r>
      <w:r>
        <w:rPr>
          <w:rStyle w:val="FootnoteReference"/>
        </w:rPr>
        <w:footnoteReference w:id="44"/>
      </w:r>
      <w:r>
        <w:rPr>
          <w:rFonts w:ascii="Simplified Arabic" w:cs="Simplified Arabic" w:eastAsia="Simplified Arabic" w:hAnsi="Simplified Arabic"/>
          <w:b w:val="false"/>
          <w:bCs w:val="false"/>
          <w:sz w:val="28"/>
          <w:szCs w:val="28"/>
          <w:rtl/>
        </w:rPr>
        <w:t xml:space="preserve">. أما في الاصطلاح الطبيّ الحديث فتقوم الحياة على تكامل الوظائف الحيويّة الثلاث: الدماغ والقلب والتنفّس، والدماغ هو الناظم المدبّر لها</w:t>
      </w:r>
      <w:r>
        <w:rPr>
          <w:rStyle w:val="FootnoteReference"/>
        </w:rPr>
        <w:footnoteReference w:id="4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كتب اللغة والفقه والطبّ، أرى أنّ مدار مسألة البحث كلّها على تحرير مفهوم الحياة: فمن جعل مناطها القلبَ النابض ألحق الميتَ دماغيًّا بالأحياء، ومن جعل مناطها الدماغَ المدرِك ألحقه بالأموات، فالخلاف في الحكم فرعٌ عن الخلاف في هذا التعريف.</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عشر: الحياة المستقرّة.</w:t>
      </w:r>
    </w:p>
    <w:p>
      <w:pPr>
        <w:bidi/>
        <w:spacing w:after="0" w:line="480"/>
        <w:jc w:val="both"/>
      </w:pPr>
      <w:r>
        <w:rPr>
          <w:rFonts w:ascii="Simplified Arabic" w:cs="Simplified Arabic" w:eastAsia="Simplified Arabic" w:hAnsi="Simplified Arabic"/>
          <w:b w:val="false"/>
          <w:bCs w:val="false"/>
          <w:sz w:val="28"/>
          <w:szCs w:val="28"/>
          <w:rtl/>
        </w:rPr>
        <w:t xml:space="preserve">الحياة المستقرّة عند الفقهاء: أن يبقى في المصاب إبصارٌ ونطقٌ وحركةٌ اختياريّة يُظنّ معها بقاؤه، فتترتّب عليه أحكام الأحياء من إرث ووصيّة وقصاص من الجاني عليه؛ بخلاف من انتهى إلى حركة المذبوح فحكمه حكم الميت وإن اضطرب</w:t>
      </w:r>
      <w:r>
        <w:rPr>
          <w:rStyle w:val="FootnoteReference"/>
        </w:rPr>
        <w:footnoteReference w:id="46"/>
      </w:r>
      <w:r>
        <w:rPr>
          <w:rStyle w:val="FootnoteReference"/>
        </w:rPr>
        <w:footnoteReference w:id="47"/>
      </w:r>
      <w:r>
        <w:rPr>
          <w:rFonts w:ascii="Simplified Arabic" w:cs="Simplified Arabic" w:eastAsia="Simplified Arabic" w:hAnsi="Simplified Arabic"/>
          <w:b w:val="false"/>
          <w:bCs w:val="false"/>
          <w:sz w:val="28"/>
          <w:szCs w:val="28"/>
          <w:rtl/>
        </w:rPr>
        <w:t xml:space="preserve">. وهذا التقسيم القديم هو أقرب أدوات الفقه الموروث إلى نازلتنا: إذ السؤال الجوهريّ هو: هل حياة الميت دماغيًّا على الأجهزة حياة مستقرّة أم هي دون حركة المذبوح؟</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عشر: الروح.</w:t>
      </w:r>
    </w:p>
    <w:p>
      <w:pPr>
        <w:bidi/>
        <w:spacing w:after="0" w:line="480"/>
        <w:jc w:val="both"/>
      </w:pPr>
      <w:r>
        <w:rPr>
          <w:rFonts w:ascii="Simplified Arabic" w:cs="Simplified Arabic" w:eastAsia="Simplified Arabic" w:hAnsi="Simplified Arabic"/>
          <w:b w:val="false"/>
          <w:bCs w:val="false"/>
          <w:sz w:val="28"/>
          <w:szCs w:val="28"/>
          <w:rtl/>
        </w:rPr>
        <w:t xml:space="preserve">الروح في اللغة: النفس والنفَس، ومنه الرَّوح والراحة</w:t>
      </w:r>
      <w:r>
        <w:rPr>
          <w:rStyle w:val="FootnoteReference"/>
        </w:rPr>
        <w:footnoteReference w:id="48"/>
      </w:r>
      <w:r>
        <w:rPr>
          <w:rFonts w:ascii="Simplified Arabic" w:cs="Simplified Arabic" w:eastAsia="Simplified Arabic" w:hAnsi="Simplified Arabic"/>
          <w:b w:val="false"/>
          <w:bCs w:val="false"/>
          <w:sz w:val="28"/>
          <w:szCs w:val="28"/>
          <w:rtl/>
        </w:rPr>
        <w:t xml:space="preserve">. وفي الاصطلاح: اللطيفة العالمة المدرِكة من الإنسان، التي بها الحياة والإدراك</w:t>
      </w:r>
      <w:r>
        <w:rPr>
          <w:rStyle w:val="FootnoteReference"/>
        </w:rPr>
        <w:footnoteReference w:id="49"/>
      </w:r>
      <w:r>
        <w:rPr>
          <w:rFonts w:ascii="Simplified Arabic" w:cs="Simplified Arabic" w:eastAsia="Simplified Arabic" w:hAnsi="Simplified Arabic"/>
          <w:b w:val="false"/>
          <w:bCs w:val="false"/>
          <w:sz w:val="28"/>
          <w:szCs w:val="28"/>
          <w:rtl/>
        </w:rPr>
        <w:t xml:space="preserve">. وقد استأثر الله بعلم حقيقتها، قال تعالى: </w:t>
      </w:r>
      <w:r>
        <w:rPr>
          <w:rFonts w:ascii="Simplified Arabic" w:cs="Simplified Arabic" w:eastAsia="Simplified Arabic" w:hAnsi="Simplified Arabic"/>
          <w:b/>
          <w:bCs/>
          <w:sz w:val="28"/>
          <w:szCs w:val="28"/>
          <w:rtl/>
        </w:rPr>
        <w:t xml:space="preserve">﴿وَيَسْأَلُونَكَ عَنِ الرُّوحِ قُلِ الرُّوحُ مِنْ أَمْرِ رَبِّي﴾</w:t>
      </w:r>
      <w:r>
        <w:rPr>
          <w:rFonts w:ascii="Simplified Arabic" w:cs="Simplified Arabic" w:eastAsia="Simplified Arabic" w:hAnsi="Simplified Arabic"/>
          <w:b w:val="false"/>
          <w:bCs w:val="false"/>
          <w:sz w:val="28"/>
          <w:szCs w:val="28"/>
          <w:rtl/>
        </w:rPr>
        <w:t xml:space="preserve"> (الإسراء: 85)؛ ولذلك عرّف الفقهاء الموتَ بأثر مفارقتها للبدن لا بحقيقتها.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عشر: الوفاة.</w:t>
      </w:r>
    </w:p>
    <w:p>
      <w:pPr>
        <w:bidi/>
        <w:spacing w:after="0" w:line="480"/>
        <w:jc w:val="both"/>
      </w:pPr>
      <w:r>
        <w:rPr>
          <w:rFonts w:ascii="Simplified Arabic" w:cs="Simplified Arabic" w:eastAsia="Simplified Arabic" w:hAnsi="Simplified Arabic"/>
          <w:b w:val="false"/>
          <w:bCs w:val="false"/>
          <w:sz w:val="28"/>
          <w:szCs w:val="28"/>
          <w:rtl/>
        </w:rPr>
        <w:t xml:space="preserve">الوفاة في اللغة: من الوفاء والاستيفاء، لأنّ الميت استوفى أجله ومدّته</w:t>
      </w:r>
      <w:r>
        <w:rPr>
          <w:rStyle w:val="FootnoteReference"/>
        </w:rPr>
        <w:footnoteReference w:id="50"/>
      </w:r>
      <w:r>
        <w:rPr>
          <w:rFonts w:ascii="Simplified Arabic" w:cs="Simplified Arabic" w:eastAsia="Simplified Arabic" w:hAnsi="Simplified Arabic"/>
          <w:b w:val="false"/>
          <w:bCs w:val="false"/>
          <w:sz w:val="28"/>
          <w:szCs w:val="28"/>
          <w:rtl/>
        </w:rPr>
        <w:t xml:space="preserve">. وفي التنزيل: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وهي في الاصطلاح الشرعيّ مرادفة للموت: مفارقة الروح للبدن مفارقةً تامّة، وبها تتعلق أحكام التركة والعدّة والتجهيز.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عشر: حرمة الميت.</w:t>
      </w:r>
    </w:p>
    <w:p>
      <w:pPr>
        <w:bidi/>
        <w:spacing w:after="0" w:line="480"/>
        <w:jc w:val="both"/>
      </w:pPr>
      <w:r>
        <w:rPr>
          <w:rFonts w:ascii="Simplified Arabic" w:cs="Simplified Arabic" w:eastAsia="Simplified Arabic" w:hAnsi="Simplified Arabic"/>
          <w:b w:val="false"/>
          <w:bCs w:val="false"/>
          <w:sz w:val="28"/>
          <w:szCs w:val="28"/>
          <w:rtl/>
        </w:rPr>
        <w:t xml:space="preserve">الحرمة في اللغة: ما لا يحلّ انتهاكه</w:t>
      </w:r>
      <w:r>
        <w:rPr>
          <w:rStyle w:val="FootnoteReference"/>
        </w:rPr>
        <w:footnoteReference w:id="51"/>
      </w:r>
      <w:r>
        <w:rPr>
          <w:rFonts w:ascii="Simplified Arabic" w:cs="Simplified Arabic" w:eastAsia="Simplified Arabic" w:hAnsi="Simplified Arabic"/>
          <w:b w:val="false"/>
          <w:bCs w:val="false"/>
          <w:sz w:val="28"/>
          <w:szCs w:val="28"/>
          <w:rtl/>
        </w:rPr>
        <w:t xml:space="preserve">. وحرمة الميت شرعًا: صيانة جسده وكرامته عن كلّ اعتداء أو امتهان، وأصلها قوله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52"/>
      </w:r>
      <w:r>
        <w:rPr>
          <w:rFonts w:ascii="Simplified Arabic" w:cs="Simplified Arabic" w:eastAsia="Simplified Arabic" w:hAnsi="Simplified Arabic"/>
          <w:b w:val="false"/>
          <w:bCs w:val="false"/>
          <w:sz w:val="28"/>
          <w:szCs w:val="28"/>
          <w:rtl/>
        </w:rPr>
        <w:t xml:space="preserve">. وهذا المصطلح يظهر في البحث في موضعين متقابلين: فالمعارضون للنزع يحتجّون بالحرمة لإبقاء الأجهزة، والمؤيّدون يحتجّون بها نفسِها لرفعها، لأنّ في تعليق الجثمان على الآلات عبثًا به وتأخيرًا لإكرامه بالدفن.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عشر: المريض الميؤوس من شفائه.</w:t>
      </w:r>
    </w:p>
    <w:p>
      <w:pPr>
        <w:bidi/>
        <w:spacing w:after="0" w:line="480"/>
        <w:jc w:val="both"/>
      </w:pPr>
      <w:r>
        <w:rPr>
          <w:rFonts w:ascii="Simplified Arabic" w:cs="Simplified Arabic" w:eastAsia="Simplified Arabic" w:hAnsi="Simplified Arabic"/>
          <w:b w:val="false"/>
          <w:bCs w:val="false"/>
          <w:sz w:val="28"/>
          <w:szCs w:val="28"/>
          <w:rtl/>
        </w:rPr>
        <w:t xml:space="preserve">هو في سياق نازلتنا: المريض الذي تعطّلت جميع وظائف دماغه تعطّلًا نهائيًّا، وحكم الأطباء الاختصاصيّون الخبراء بأنّ هذا التعطّل لا رجعة فيه، وأخذ دماغه في التحلّل، وإن كان قلبه لا يزال نابضًا بفعل الأجهزة؛ وهذا هو الضابط الذي اعتمده مجمع الفقه الإسلاميّ الدوليّ في قراره بشأن أجهزة الإنعاش</w:t>
      </w:r>
      <w:r>
        <w:rPr>
          <w:rStyle w:val="FootnoteReference"/>
        </w:rPr>
        <w:footnoteReference w:id="53"/>
      </w:r>
      <w:r>
        <w:rPr>
          <w:rFonts w:ascii="Simplified Arabic" w:cs="Simplified Arabic" w:eastAsia="Simplified Arabic" w:hAnsi="Simplified Arabic"/>
          <w:b w:val="false"/>
          <w:bCs w:val="false"/>
          <w:sz w:val="28"/>
          <w:szCs w:val="28"/>
          <w:rtl/>
        </w:rPr>
        <w:t xml:space="preserve">. ويخرج بهذا القيد المريضُ المشرِف على الموت بأمراض مزمنة مع سلامة دماغه، فليس من موضوع بحثنا.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عشر: الضرر والضرورة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الضرر في اللغة: ضدّ النفع</w:t>
      </w:r>
      <w:r>
        <w:rPr>
          <w:rStyle w:val="FootnoteReference"/>
        </w:rPr>
        <w:footnoteReference w:id="54"/>
      </w:r>
      <w:r>
        <w:rPr>
          <w:rFonts w:ascii="Simplified Arabic" w:cs="Simplified Arabic" w:eastAsia="Simplified Arabic" w:hAnsi="Simplified Arabic"/>
          <w:b w:val="false"/>
          <w:bCs w:val="false"/>
          <w:sz w:val="28"/>
          <w:szCs w:val="28"/>
          <w:rtl/>
        </w:rPr>
        <w:t xml:space="preserve">، وأصله الشرعيّ 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55"/>
      </w:r>
      <w:r>
        <w:rPr>
          <w:rFonts w:ascii="Simplified Arabic" w:cs="Simplified Arabic" w:eastAsia="Simplified Arabic" w:hAnsi="Simplified Arabic"/>
          <w:b w:val="false"/>
          <w:bCs w:val="false"/>
          <w:sz w:val="28"/>
          <w:szCs w:val="28"/>
          <w:rtl/>
        </w:rPr>
        <w:t xml:space="preserve">. والضرورة: بلوغ الإنسان حدًّا إن لم يتناول الممنوع هلك أو قارب، وعليها بُنيت قاعدة "الضرورات تبيح المحظورات" وأخواتها</w:t>
      </w:r>
      <w:r>
        <w:rPr>
          <w:rStyle w:val="FootnoteReference"/>
        </w:rPr>
        <w:footnoteReference w:id="56"/>
      </w:r>
      <w:r>
        <w:rPr>
          <w:rFonts w:ascii="Simplified Arabic" w:cs="Simplified Arabic" w:eastAsia="Simplified Arabic" w:hAnsi="Simplified Arabic"/>
          <w:b w:val="false"/>
          <w:bCs w:val="false"/>
          <w:sz w:val="28"/>
          <w:szCs w:val="28"/>
          <w:rtl/>
        </w:rPr>
        <w:t xml:space="preserve">. وهذان المصطلحان عمودا الاستدلال في الفصل الرابع: إذ يتجاذب المسألةَ ضررُ إبقاء الأجهزة على الجثمان والأهل، وضرورةُ حفظ أرواح مرضى آخرين محتاجين إليها.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العشرون: تخطيط كهربيّة الدماغ (EEG).</w:t>
      </w:r>
    </w:p>
    <w:p>
      <w:pPr>
        <w:bidi/>
        <w:spacing w:after="0" w:line="480"/>
        <w:jc w:val="both"/>
      </w:pPr>
      <w:r>
        <w:rPr>
          <w:rFonts w:ascii="Simplified Arabic" w:cs="Simplified Arabic" w:eastAsia="Simplified Arabic" w:hAnsi="Simplified Arabic"/>
          <w:b w:val="false"/>
          <w:bCs w:val="false"/>
          <w:sz w:val="28"/>
          <w:szCs w:val="28"/>
          <w:rtl/>
        </w:rPr>
        <w:t xml:space="preserve">فحص طبيّ يسجّل النشاط الكهربائيّ لقشرة الدماغ بأقطاب توضع على فروة الرأس، ويظهر في حال الموت الدماغيّ خطًّا مستويًا يدلّ على الصمت الكهربائيّ الدماغيّ. وهو في المعايير التشخيصيّة المعتمدة فحصٌ مساعد يُلجأ إليه عند تعذّر إتمام الفحص السريريّ، لا شرطٌ مستقلّ في كلّ حالة</w:t>
      </w:r>
      <w:r>
        <w:rPr>
          <w:rStyle w:val="FootnoteReference"/>
        </w:rPr>
        <w:footnoteReference w:id="57"/>
      </w:r>
      <w:r>
        <w:rPr>
          <w:rFonts w:ascii="Simplified Arabic" w:cs="Simplified Arabic" w:eastAsia="Simplified Arabic" w:hAnsi="Simplified Arabic"/>
          <w:b w:val="false"/>
          <w:bCs w:val="false"/>
          <w:sz w:val="28"/>
          <w:szCs w:val="28"/>
          <w:rtl/>
        </w:rPr>
        <w:t xml:space="preserve">. وأهمّيته الفقهيّة أنّه أحد وسائل التثبّت التي اشترطها الفقهاء المجيزون قبل الحكم بالموت الدماغيّ.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والعشرون: اختبار انقطاع النفَس (Apnea Test).</w:t>
      </w:r>
    </w:p>
    <w:p>
      <w:pPr>
        <w:bidi/>
        <w:spacing w:after="0" w:line="480"/>
        <w:jc w:val="both"/>
      </w:pPr>
      <w:r>
        <w:rPr>
          <w:rFonts w:ascii="Simplified Arabic" w:cs="Simplified Arabic" w:eastAsia="Simplified Arabic" w:hAnsi="Simplified Arabic"/>
          <w:b w:val="false"/>
          <w:bCs w:val="false"/>
          <w:sz w:val="28"/>
          <w:szCs w:val="28"/>
          <w:rtl/>
        </w:rPr>
        <w:t xml:space="preserve">اختبار سريريّ يُفصل فيه المريض مؤقّتًا عن جهاز التنفّس الاصطناعيّ وفق ضوابط دقيقة، مع مراقبة تركيز ثاني أكسيد الكربون في الدم، للتحقّق من غياب أيّ محاولة تنفّس ذاتيّة رغم بلوغ المنبّه التنفّسيّ حدَّه الأقصى؛ وهو ركن أساسيّ في إثبات تعطّل جذع الدماغ في البروتوكولات العالميّة</w:t>
      </w:r>
      <w:r>
        <w:rPr>
          <w:rStyle w:val="FootnoteReference"/>
        </w:rPr>
        <w:footnoteReference w:id="58"/>
      </w:r>
      <w:r>
        <w:rPr>
          <w:rFonts w:ascii="Simplified Arabic" w:cs="Simplified Arabic" w:eastAsia="Simplified Arabic" w:hAnsi="Simplified Arabic"/>
          <w:b w:val="false"/>
          <w:bCs w:val="false"/>
          <w:sz w:val="28"/>
          <w:szCs w:val="28"/>
          <w:rtl/>
        </w:rPr>
        <w:t xml:space="preserve">. وثبوت هذا الاختبار بشروطه هو الذي يميّز الموت الدماغيّ الحقيقيّ عن حالات الغيبوبة العميقة القابلة للرجوع.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والعشرون: التوجيهات الطبيّة المسبقة.</w:t>
      </w:r>
    </w:p>
    <w:p>
      <w:pPr>
        <w:bidi/>
        <w:spacing w:after="0" w:line="480"/>
        <w:jc w:val="both"/>
      </w:pPr>
      <w:r>
        <w:rPr>
          <w:rFonts w:ascii="Simplified Arabic" w:cs="Simplified Arabic" w:eastAsia="Simplified Arabic" w:hAnsi="Simplified Arabic"/>
          <w:b w:val="false"/>
          <w:bCs w:val="false"/>
          <w:sz w:val="28"/>
          <w:szCs w:val="28"/>
          <w:rtl/>
        </w:rPr>
        <w:t xml:space="preserve">وثيقة قانونيّة يعبّر فيها الإنسان الراشد مقدّمًا عن إرادته في شأن العلاجات المطيلة للحياة إذا فقد أهليّة اتخاذ القرار، ومنها موقفه من أجهزة الإنعاش. وقد نظّمها قانون المريض المحتضر الإسرائيليّ ضمن آليّات مؤسّسيّة دقيقة</w:t>
      </w:r>
      <w:r>
        <w:rPr>
          <w:rStyle w:val="FootnoteReference"/>
        </w:rPr>
        <w:footnoteReference w:id="59"/>
      </w:r>
      <w:r>
        <w:rPr>
          <w:rFonts w:ascii="Simplified Arabic" w:cs="Simplified Arabic" w:eastAsia="Simplified Arabic" w:hAnsi="Simplified Arabic"/>
          <w:b w:val="false"/>
          <w:bCs w:val="false"/>
          <w:sz w:val="28"/>
          <w:szCs w:val="28"/>
          <w:rtl/>
        </w:rPr>
        <w:t xml:space="preserve">، كما اعتمدها القانون الفرنسيّ (قانون ليونيتي) في إطار منع العناد العلاجيّ</w:t>
      </w:r>
      <w:r>
        <w:rPr>
          <w:rStyle w:val="FootnoteReference"/>
        </w:rPr>
        <w:footnoteReference w:id="60"/>
      </w:r>
      <w:r>
        <w:rPr>
          <w:rFonts w:ascii="Simplified Arabic" w:cs="Simplified Arabic" w:eastAsia="Simplified Arabic" w:hAnsi="Simplified Arabic"/>
          <w:b w:val="false"/>
          <w:bCs w:val="false"/>
          <w:sz w:val="28"/>
          <w:szCs w:val="28"/>
          <w:rtl/>
        </w:rPr>
        <w:t xml:space="preserve">. وسيأتي في الفصل الرابع والملحق بيان موقعها من الاعتبار الشرعيّ.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المصطلحات العشرة المضافة، أعتقد أنّ الجمع بين المعجمين الفقهيّ (الحياة المستقرّة، الحرمة، الضرورة) والطبيّ-القانونيّ (التخطيط الدماغيّ، اختبار النفَس، التوجيهات المسبقة) يكشف أنّ لكلّ علمٍ أدواتِ ضبطٍ لموضوعه، وأنّ النازلة لا تُحرَّر إلا بإحكام الجسور بين هذه الأدوات، وهو ما تسعى إليه الفصول الآتية.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80" w:line="30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80" w:line="30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80" w:line="30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6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6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6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6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6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6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67"/>
      </w:r>
      <w:r>
        <w:rPr>
          <w:rStyle w:val="FootnoteReference"/>
        </w:rPr>
        <w:footnoteReference w:id="68"/>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69"/>
      </w:r>
      <w:r>
        <w:rPr>
          <w:rStyle w:val="FootnoteReference"/>
        </w:rPr>
        <w:footnoteReference w:id="70"/>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71"/>
      </w:r>
      <w:r>
        <w:rPr>
          <w:rStyle w:val="FootnoteReference"/>
        </w:rPr>
        <w:footnoteReference w:id="72"/>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كتب المذاهب في علامات الموت، أرى أنّ الفقهاء المتقدّمين لم يجعلوا العلامات تعبّديّة جامدة، بل علّلوها بحصول اليقين بمفارقة الحياة؛ ومن هنا كان بابهم مفتوحًا من حيث المبدأ لكلّ وسيلة تثبّت جديدة تفيد اليقين نفسه، وهذه ملاحظة تخفّف من غرابة النازلة المعاصرة.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76"/>
      </w:r>
      <w:r>
        <w:rPr>
          <w:rStyle w:val="FootnoteReference"/>
        </w:rPr>
        <w:footnoteReference w:id="77"/>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78"/>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قصّة وباء كوبنهاغن وما تلاها، أعتقد أنّ ولادة العناية المركّزة كانت لحظة انقلاب مفهوميّ لا تقنيّ فحسب: فلأوّل مرّة في التاريخ صار بالإمكان فصلُ وظيفة التنفّس عن أمر الدماغ، وبهذا الفصل تحديدًا نشأ الكائن الجديد الذي حار فيه الفقه والقانون: جسدٌ يتنفّس ودماغٌ قد مات.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80"/>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82"/>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83"/>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مسار دخول النازلة إلى المجامع الفقهيّة، أرى أنّ تتابع المحطّات من سؤال عمّان إلى قرار المجمع يعكس سنّة المجامع في التأنّي: عرضٌ طبّيّ، فمداولة، فتأجيل، فقرار؛ وهذا التدرّج معلومة منهجيّة تفسّر لماذا جاء القرار مركّبًا يجمع بين العلامتين القلبيّة والدماغيّة.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85"/>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نصوص الوحي في الموت، أعتقد أنّ القرآن قصد إلى بيان حقيقة الموت ومصير الإنسان لا إلى تحديد علاماته الإكلينيكيّة، وترك تشخيص الواقعة لأهل الخبرة في كلّ عصر؛ وهذا التقسيم بين ما يُتلقّى من الوحي وما يُتلقّى من التجربة هو مفتاح الجمع بين النصّ والطبّ في نازلتنا.</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80" w:line="30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80" w:line="30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86"/>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88"/>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الموقف اليهوديّ، أرى أنّ الجدل داخل المدرسة الواحدة بين اعتماد توقّف التنفّس واعتماد موت جذع الدماغ يشبه إلى حدّ بعيد جدلنا الفقهيّ الداخليّ؛ واللافت أنّ قانون المريض المحتضر الإسرائيليّ صيغ بلجنة شارك فيها رجال دين وأطباء وقانونيّون، وهو نموذج تشريعيّ لتوطين الخلاف الدينيّ داخل نصّ قانونيّ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89"/>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90"/>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الموقف المسيحيّ، أعتقد أنّ تفريق اللاهوت الكاثوليكيّ بين الوسائل العاديّة والوسائل الاستثنائيّة في العلاج من أنفع المفاهيم المقارنة لبحثي؛ فهو يقابل عند فقهائنا التفريقَ بين التداوي المشروع والتكلّف المرفوع، ويدلّ على أنّ الشرائع تلتقي في رفض العناد العلاجيّ العبثيّ.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91"/>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92"/>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وفيه ستة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80" w:line="30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80" w:line="30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80" w:line="30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80" w:line="30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80" w:line="30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98"/>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الفقهيّة المذكورة، أرى أنّ أوسعها أثرًا في حياة الناس أحكامُ العدّة والإرث؛ لأنّ تحديد لحظة الوفاة يقدّم أو يؤخّر بدءَ العدّة ودخولَ وارثٍ في الورثة، فالمسألة ليست ترفًا نظريًّا بل تمسّ ذمم الناس وأنسابهم وأموالهم.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10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الطبيّة، أعتقد أنّ أهمّ معلومة فيها أنّ أسرّة العناية المركّزة موارد شحيحة قابلة للاستنزاف، وأنّ كلّ سرير يشغله من ثبت موت دماغه قد يعني حرمان مريضٍ قابلٍ للإنقاذ؛ وبهذه المعلومة يتحوّل السؤال من شأن فرديّ بين طبيب وأسرة إلى سؤال عدالة توزيعيّة عامّة.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103"/>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105"/>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الاجتماعيّة والنفسيّة، أرى أنّ ظاهرة (الحداد المعلّق) التي تعيشها الأسرة بين موتٍ معلنٍ طبّيًّا وقلبٍ نابضٍ أمام أعينها من أدقّ ما ينبغي أن يستحضره المفتي؛ لأنّ الفتوى هنا لا تخاطب عقلًا مجرّدًا، بل قلوبًا واقفةً عند سرير.</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106"/>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107"/>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109"/>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القانونيّة، أعتقد أنّ أخطرها مسألة توقيت الوفاة في السجلّ الرسميّ؛ لأنّه يتفرّع عنه تاريخ فتح التركة وصحّة التصرّفات، ومع اختلاف الدول في اعتماد الموت الدماغيّ قد يُعدّ الإنسان ميتًا في دولة حيًّا في أخرى، وهي مفارقة تشريعيّة تستدعي التنسيق بين المشرّعين.</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الاقتصاديّة، أرى أنّ أرقام كلفة اليوم الواحد في العناية المركّزة تعطي مقصد حفظ المال حضورًا ملموسًا في النازلة؛ غير أنّ المعلومة تحتاج ضبطًا: فالكلفة وحدها ليست مسوّغًا للنزع عند أحد من الفقهاء، وإنما تنضمّ قرينةً إلى انعدام جدوى العلاج.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112"/>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113"/>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مجموع آثار هذا الفصل الستّة، أعتقد أنّ اجتماعها يفسّر وصف الباحثين للمسألة بأنها نازلة مركّبة: فليس في أبواب الفقه بابٌ إلا وله فيها نصيب، من الطهارة والجنائز إلى الجنايات والمعاملات؛ وهذا التركّب هو الذي يوجب فيها الاجتهاد الجماعيّ لا الفتوى الفرديّة.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80" w:line="300"/>
        <w:jc w:val="center"/>
      </w:pPr>
      <w:r>
        <w:rPr>
          <w:rFonts w:ascii="Simplified Arabic" w:cs="Simplified Arabic" w:eastAsia="Simplified Arabic" w:hAnsi="Simplified Arabic"/>
          <w:b/>
          <w:bCs/>
          <w:sz w:val="28"/>
          <w:szCs w:val="28"/>
          <w:rtl/>
        </w:rPr>
        <w:t xml:space="preserve">وفيه أربعة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صورة المسألة طبًّا، أرى أنّ حجر الزاوية في التصوير هو معلومة اللارجعة؛ فكلّ أدلّة الفريقين تتوقّف على السؤال: هل التعطّل نهائيّ حقًّا؟ ولهذا كان تحقيق المناط الطبّيّ مقدَّمًا في الرتبة على الاستدلال الشرعيّ نفسه.</w:t>
      </w:r>
    </w:p>
    <w:p>
      <w:pPr>
        <w:bidi/>
        <w:spacing w:after="60" w:before="12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19"/>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60" w:before="12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2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ربط المسألة بمقصد حفظ النفس، أعتقد أنّ المقصد يعمل هنا في اتجاهين متقابلين في آن واحد: صيانة نفس هذا المصاب عن التعجّل، وصيانة أنفس مرضى آخرين تُحجز عنهم الأجهزة؛ وقلَّ أن تجد نازلة يتجاذب فيها المقصد الواحد طرفي الحكم بهذا الوضوح.</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21"/>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فلسفة المقاصد في المسألة، أرى أنّ ميزان الكلّيّات الخمس لا يعمل في النوازل عملَ قائمة جامدة، بل عملَ منظومة تتفاعل: فحفظ النفس يتقاطع مع حفظ المال في كلفة العلاج، ومع حفظ الدين في أحكام الجنازة؛ وإدراك هذا التفاعل يعصم من اختزال النازلة في مقصد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24"/>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الواقع المعروضة، أعتقد أنّ أنفع ما في هذا المطلب بيانُ أنّ النازلة ليست افتراضًا مدرسيًّا: فالوقائع المنشورة من المستشفيات، وقضايا المحاكم، وأسئلة الناس لدور الإفتاء، كلّها شواهد على أنّ آلاف الأسر تقف سنويًّا أمام هذا السؤال بعينه.</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80" w:line="30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80" w:line="30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80" w:line="30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80" w:line="30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مواضع الاتفاق الأربعة، أرى أنّ أوّل فوائد تحريرها إسقاطُ صورتين شائعتين لا وجود لهما في النزاع: فلا أحد من الفقهاء يجيز قتل المريض بفعل إيجابيّ، ولا أحد يوجب إبقاء الأجهزة على من مات موتًا مستقرًّا؛ فالنزاع الحقيقيّ أضيق كثيرًا ممّا يظنّه العامّة.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تحرير محلّ النزاع، أعتقد أنّ حصر الخلاف في نقطة واحدة (هل الموت الدماغيّ موت شرعًا؟) هو أثمن خطوة منهجيّة في البحث كلّه؛ لأنّ الفروع الأخرى - النزع، والتوقيت، والمسؤوليّة - تنحلّ كلّها تبعًا لحلّ هذه النقطة.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أسباب الاختلاف، أرى أنّ أعمقها أثرًا اختلافُ الفقهاء في مصدر تعريف الموت: أهو حقيقة شرعيّة تؤخذ من النصوص، أم حقيقة تجريبيّة يُرجع فيها لأهل الخبرة؟ وهذا خلاف أصوليّ في مرجعيّة التعريف قبل أن يكون خلافًا في الطبّ.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التكييفات المعروضة، أعتقد أنّ تردّد النازلة بين أبواب فقهيّة عدّة - الجنايات والجنائز والتداوي والسياسة الشرعيّة - ليس عيبًا في التكييف، بل هو طبيعة النوازل المركّبة؛ والفقيه المحقّق يأخذ من كلّ باب حظّه بدل أن يقسر المسألة كلّها في باب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29"/>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30"/>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31"/>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60" w:before="12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34"/>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36"/>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الأدلّة العامّة والقواعد، أرى أنّ القواعد الفقهيّة تعمل في هذه النازلة عملَ الميزان لا عملَ الدليل المستقلّ: فقاعدة اليقين لا يزول بالشكّ لا تحسم شيئًا حتى يتحرّر: أين اليقين هنا؟ أهو يقين الحياة السابقة أم يقين التلف الدماغيّ الثابت بالفحص؟ فالمدار على تحقيق المناط.</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80" w:line="30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38"/>
      </w:r>
      <w:r>
        <w:rPr>
          <w:rStyle w:val="FootnoteReference"/>
        </w:rPr>
        <w:footnoteReference w:id="139"/>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41"/>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43"/>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44"/>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المجيزين، أعتقد أنّ أقواها ما جمع بين النقل والواقع: الاستدلال بمناط الحياة المستقرّة الموروث من الفقه القديم مضمومًا إلى المعطى الطبّيّ الحديث في اللارجعة؛ وأمّا الاستدلال بالضرر والمصلحة وحده فقوّته تابعة لثبوت الموت لا مستقلّة عنه.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48"/>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51"/>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52"/>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53"/>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المانعين، أرى أنّ مركزها جميعًا الاحتياطُ للنفس المعصومة عند الشكّ، وهو أصل شرعيّ متين في نفسه؛ وموضع الفحص إنما هو مقدّمته الواقعيّة: هل يبقى بعد استكمال الفحوص الدقيقة المتكرّرة شكٌّ معتبر تُبنى عليه أحكام الاحتياط؟</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5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56"/>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57"/>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58"/>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المناقشات المتبادلة، أعتقد أنّ الفريقين أقرب ممّا يوحي به ظاهر الخلاف: فالمجيزون يشترطون من التثبّت الطبّيّ ما يكاد يلبّي مطلب المانعين في اليقين، والمانعون لا يوجبون من العلاج ما يكون تكلّفًا محضًا؛ فبينهما مساحة عمليّة مشتركة أوسع من مساحة النزاع النظريّ.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60" w:before="12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60" w:before="12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مبرّرات الترجيح، أرى أنّ أهمّ ما يميّز القول الراجح صفتُه الإجرائيّة: فهو لا يكتفي بتقرير الحكم نظريًّا، بل يقيّده بضوابط تشخيصٍ وتوثيقٍ وشورى أسريّة؛ وبهذه الضوابط يصير الحكم قابلًا للتطبيق المؤسّسيّ في المستشفيات لا فتوى معلّقة في الكتب.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80" w:line="30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60" w:before="120" w:line="360"/>
        <w:jc w:val="right"/>
      </w:pPr>
      <w:r>
        <w:rPr>
          <w:rFonts w:ascii="Simplified Arabic" w:cs="Simplified Arabic" w:eastAsia="Simplified Arabic" w:hAnsi="Simplified Arabic"/>
          <w:b/>
          <w:bCs/>
          <w:sz w:val="28"/>
          <w:szCs w:val="28"/>
          <w:rtl/>
        </w:rPr>
        <w:t xml:space="preserve">الفرع الأوّل: فلسطين.</w:t>
      </w:r>
    </w:p>
    <w:p>
      <w:pPr>
        <w:bidi/>
        <w:spacing w:after="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الأردن.</w:t>
      </w:r>
    </w:p>
    <w:p>
      <w:pPr>
        <w:bidi/>
        <w:spacing w:after="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مصر.</w:t>
      </w:r>
    </w:p>
    <w:p>
      <w:pPr>
        <w:bidi/>
        <w:spacing w:after="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إسرائيل.</w:t>
      </w:r>
    </w:p>
    <w:p>
      <w:pPr>
        <w:bidi/>
        <w:spacing w:after="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السابع: فرنسا.</w:t>
      </w:r>
    </w:p>
    <w:p>
      <w:pPr>
        <w:bidi/>
        <w:spacing w:after="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73"/>
      </w:r>
      <w:r>
        <w:rPr>
          <w:rStyle w:val="FootnoteReference"/>
        </w:rPr>
        <w:footnoteReference w:id="17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77"/>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78"/>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80"/>
      </w:r>
      <w:r>
        <w:rPr>
          <w:rStyle w:val="FootnoteReference"/>
        </w:rPr>
        <w:footnoteReference w:id="181"/>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82"/>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84"/>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85"/>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8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مواقف القوانين المعروضة في هذا المبحث، أعتقد أنّ أوضح خلاصة مقارنة هي أنّ القوانين العربيّة والأجنبيّة على اختلاف مشاربها تتّجه اتجاهًا واحدًا: اعتماد الموت الدماغيّ بشروط لجانٍ متخصّصة وضمانات توثيق؛ وهو اتجاه يلتقي موضوعيًّا مع مضمون القول الراجح فقهًا.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80" w:line="30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80" w:line="30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80" w:line="30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80" w:line="30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8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8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وبعد فحص القرار على معايير: تعلّقه بعين المسألة، وصحّة الاستشهاد، ووجود التعليل عند ذكر الحكم - وجدتُ أنّ جواب المجمع ممتاز؛ فالقرار متكلّم في عين مسألتي لا في غيرها، وقد بنى الحكم على ضابط طبّيّ محرَّر (تعطّل جميع وظائف الدماغ تعطّلًا لا رجعة فيه بتقرير الأطباء الاختصاصيّين الخبراء)، وصاغ العلامتين القلبيّة والدماغيّة صياغة جامعة؛ وإن لم يسق آياتٍ وأحاديث بنصوصها فلأنّ مورد القرار تحقيقُ مناطٍ طبّيّ لا تأسيسُ أصل شرعيّ جديد.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8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9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9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هذه التوصية جيّدة؛ فهي في صميم العنوان، وقوّتها في مصدرها الجامع بين الفقهاء والأطباء وفي تقريرها أنّ أجهزة الإنعاش لا تُنشئ حياةً وإنما تحاكيها؛ غير أنها عامّة الصياغة لم تفصّل ضوابط التشخيص تفصيلَ القرارات اللاحقة، فكمالها في ضمّها إلى قرار المجمع الدوليّ.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92"/>
      </w:r>
      <w:r>
        <w:rPr>
          <w:rStyle w:val="FootnoteReference"/>
        </w:rPr>
        <w:footnoteReference w:id="19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9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جواب دار الإفتاء المصريّة واضح جيّد؛ فقد طابق السؤال المطروح، وعلّل بتعريف الموت بمفارقة الروح للبدن وبمعيار التوقّف النهائيّ لوظائف الدماغ، ووصل الحكم بواقع الأجهزة الحديثة؛ ولو ساق وجه الاستدلال من النصوص التي أشار إليها إشارةً لكان أتمّ.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9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9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قرار مجلس الإفتاء الأردنيّ ممتاز الصياغة؛ فهو نصّ في محلّ النزاع، جمع بين الإذن برفع الأجهزة عمّن ثبت موته دماغيًّا وبين منع تعجيل الموت بفعل إيجابيّ، وقيّد ذلك بتثبّت اللجنة الطبّيّة المختصّة؛ فحرّر الفرق الدقيق بين الكفّ عن التكلّف والاعتداء على الحياة، وهو عين التفريق الذي انتهى إليه بحثي.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9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هذه الفتوى جيّدة؛ فقد استندت إلى قرارات المجامع وأحالت على أهل الاختصاص الطبّيّ، وسلمت من الاستشهاد بنصوص لا تعلّق لها بالمسألة؛ لكنها فتوى ناقلة مؤكِّدة أكثر منها مؤسِّسة، وقيمتها في بيان استقرار العمل الإفتائيّ على مضمون القرارات المجمعيّة.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80" w:line="30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80" w:line="30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9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9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وبعد فحص القرار وجدتُ أنّ جواب المجمع الفقهيّ لرابطة العالم الإسلاميّ واضح قويّ التحرير؛ فهو متكلّم في عين المسألة، بنى التوقّف عن الحكم بالموت على أصل معتبر هو اليقين في الحياة، ولم يغفل الجانب العمليّ إذ سوّغ رفع الأجهزة إذا تعطّل الدماغ بشهادة الخبراء؛ فالفرق بينه وبين قرار عمّان أضيق ممّا يُشاع: هو خلاف في توقيت الحكم بالموت لا في مشروعيّة الرفع.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20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20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فتوى اللجنة الدائمة جيّدة من جهة اطّرادها على أصل الاحتياط للنفس، وهي في محلّ العنوان، واستدلالها بعموم نصوص العصمة في محلّه من حيث الجملة؛ ومورد الفحص فيها أنّ العمومات تُحقَّق مناطاتها في الوقائع: فمن ثبت موت دماغه بالفحص القاطع فمحلّ جريان العصمة فيه هو نفسُه محلّ النزاع، فلا تنهض العمومات وحدها حسمًا 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20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20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جواب الشيخ ابن عثيمين ممتاز من جهة الصناعة الفقهيّة؛ فهو متكلّم في عين المسألة، معلِّل بمآلات الأحكام (العدّة والإرث والتصرّفات) لا بمجرّد الاحتياط المجمل، مفرِّق بين صور المريض تفريقًا دقيقًا؛ وبناءً على أنه لم يقتصر على العمومات بل حرّر المناط وعلّله، فإنّ فتواه من أقوى ما احتجّ به هذا الفريق.</w:t>
      </w:r>
    </w:p>
    <w:p>
      <w:pPr>
        <w:bidi/>
        <w:spacing w:after="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صياغة هذا الملحق، أرى أنّ تحويل خلاصة البحث إلى وثيقة تفهيمٍ عمليّة هو الجسر المفقود بين كتب الفقه وغرف العناية المركّزة؛ فالأسرة لا تحتاج في ساعة الصدمة إلى بحث فقهيّ مطوّل، بل إلى ورقة رحيمة واضحة تختصر لها المسموح والممنوع وخطوات القرار.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الفهارس</w:t>
      </w:r>
    </w:p>
    <w:p>
      <w:pPr>
        <w:bidi/>
        <w:spacing w:after="80" w:line="300"/>
        <w:jc w:val="center"/>
      </w:pPr>
      <w:r>
        <w:rPr>
          <w:rFonts w:ascii="Simplified Arabic" w:cs="Simplified Arabic" w:eastAsia="Simplified Arabic" w:hAnsi="Simplified Arabic"/>
          <w:b/>
          <w:bCs/>
          <w:sz w:val="28"/>
          <w:szCs w:val="28"/>
          <w:rtl/>
        </w:rPr>
        <w:t xml:space="preserve">فهرس الآيات القرآنيّة.</w:t>
      </w:r>
    </w:p>
    <w:p>
      <w:pPr>
        <w:bidi/>
        <w:spacing w:after="80" w:line="300"/>
        <w:jc w:val="center"/>
      </w:pPr>
      <w:r>
        <w:rPr>
          <w:rFonts w:ascii="Simplified Arabic" w:cs="Simplified Arabic" w:eastAsia="Simplified Arabic" w:hAnsi="Simplified Arabic"/>
          <w:b/>
          <w:bCs/>
          <w:sz w:val="28"/>
          <w:szCs w:val="28"/>
          <w:rtl/>
        </w:rPr>
        <w:t xml:space="preserve">فهرس الأحاديث النبويّة.</w:t>
      </w:r>
    </w:p>
    <w:p>
      <w:pPr>
        <w:bidi/>
        <w:spacing w:after="80" w:line="300"/>
        <w:jc w:val="center"/>
      </w:pPr>
      <w:r>
        <w:rPr>
          <w:rFonts w:ascii="Simplified Arabic" w:cs="Simplified Arabic" w:eastAsia="Simplified Arabic" w:hAnsi="Simplified Arabic"/>
          <w:b/>
          <w:bCs/>
          <w:sz w:val="28"/>
          <w:szCs w:val="28"/>
          <w:rtl/>
        </w:rPr>
        <w:t xml:space="preserve">فهرس الأعلام.</w:t>
      </w:r>
    </w:p>
    <w:p>
      <w:pPr>
        <w:bidi/>
        <w:spacing w:after="80" w:line="300"/>
        <w:jc w:val="center"/>
      </w:pPr>
      <w:r>
        <w:rPr>
          <w:rFonts w:ascii="Simplified Arabic" w:cs="Simplified Arabic" w:eastAsia="Simplified Arabic" w:hAnsi="Simplified Arabic"/>
          <w:b/>
          <w:bCs/>
          <w:sz w:val="28"/>
          <w:szCs w:val="28"/>
          <w:rtl/>
        </w:rPr>
        <w:t xml:space="preserve">فهرس المصادر والمراجع.</w:t>
      </w:r>
    </w:p>
    <w:p>
      <w:pPr>
        <w:bidi/>
        <w:spacing w:after="80" w:line="30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 (الصفحة: 121).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 (الصفحة: 71).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 (الصفحة: 26).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 (الصفحة: 77).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بن عمر بن عبد العزيز عابدين الدمشقيّ (1198-1252هـ)، خاتمة فقهاء الحنفيّة، صاحب "ردّ المحتار على الدرّ المختار"، من شيوخه محمد شاكر العقّاد، ومن تلاميذه ابنه علاء الدين عابدين (الصفحة: 60).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موفّق الدين عبد الله بن أحمد المقدسيّ (541-620هـ)، فقيه الحنابلة في عصره، صاحب "المغني" و"الكافي" (الصفحة: 46).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بن عليّ الأنصاريّ الإفريقيّ (630-711هـ)، اللغويّ الموسوعيّ، صاحب "لسان العرب" أوسع معاجم العربيّة (الصفحة: 41).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(202-275هـ)، الإمام المحدّث، صاحب "السنن" أحد الكتب الستّة، من شيوخه الإمام أحمد بن حنبل (الصفحة: 36).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إسماعيل الجعفيّ (194-256هـ)، إمام المحدّثين، صاحب "الجامع الصحيح"، من شيوخه إسحاق بن راهويه، ومن تلاميذه مسلم بن الحجّاج والترمذيّ (الصفحة: 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(1000-1051هـ)، شيخ الحنابلة في مصر، صاحب "كشّاف القناع عن متن الإقناع" (الصفحة: 67).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السيّد الشريف (740-816هـ)، العلّامة المتكلّم، صاحب "التعريفات" و"شرح المواقف"، أخذ عن قطب الدين الرازيّ (الصفحة: 40).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بن عرفة (ت1230هـ)، فقيه المالكيّة، صاحب الحاشية المشهورة على الشرح الكبير للدردير (الصفحة: 67).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شمس الدين محمد بن أحمد الخطيب (ت977هـ)، الفقيه الشافعيّ المفسّر، صاحب "مغني المحتاج" و"السراج المنير"، من شيوخه شهاب الدين الرمليّ (الصفحة: 46).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محمد بن يعقوب (729-817هـ)، اللغويّ الشهير، صاحب "القاموس المحيط" (الصفحة: 43).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إمام دار الهجرة (93-179هـ)، صاحب "الموطأ" وإليه تنسب المالكيّة، من شيوخه نافع مولى ابن عمر وربيعة الرأي، ومن تلاميذه الشافعيّ (الصفحة: 62).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المحتويات</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فهرس موضوعات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أهميّة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أسباب اختيار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أهداف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الأسئلة الفرعيّة: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حدود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أولًا: الدراسات باللغة العربيّة (17 دراسة):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ثانيًا: الدراسات باللغات الأجنبيّة (10 دراسات):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36</w:t>
            </w:r>
          </w:p>
        </w:tc>
      </w:tr>
    </w:tbl>
    <w:p>
      <w:pPr>
        <w:spacing w:before="200" w:after="0"/>
      </w:pPr>
    </w:p>
    <w:p>
      <w:pPr>
        <w:bidi/>
        <w:spacing w:before="240" w:after="160"/>
        <w:jc w:val="center"/>
      </w:pPr>
      <w:r>
        <w:rPr>
          <w:rFonts w:ascii="Simplified Arabic" w:hAnsi="Simplified Arabic" w:cs="Simplified Arabic"/>
          <w:b/>
          <w:bCs/>
          <w:sz w:val="30"/>
          <w:szCs w:val="30"/>
          <w:rtl/>
        </w:rPr>
        <w:t>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الأوّل: تعريفات أساسيّة وتعريفات ذات صلة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تعريفات أساسيّة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الأحكام.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الفقهيّة.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النزع.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الأجهزة الطبيّة.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الميت.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التعريف المركّب "نزع الأجهزة الطبيّة عن الميت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مراتب الحياة عند الفقهاء وتعلّقها بالمسألة.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46</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تعريفات ذات صلة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الدماغيّ.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الإنعاش القلبيّ الرئويّ.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أجهزة الإنعاش الصناعيّ.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الحالة النباتيّة (الغيبوبة المستديمة).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الاحتضار.</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موت الرحمة (القتل الرحيم).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العناية المركّزة.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زراعة الأعضاء.</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التاسع: جذع الدماغ.</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العاشر: الغيبوبة.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الحادي عشر: التداوي.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عشر: العلاج التلطيفيّ.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عشر: الحياة.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عشر: الحياة المستقرّة.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عشر: الروح.</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عشر: الوفاة.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عشر: حرمة الميت.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عشر: المريض الميؤوس من شفائه.</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التاسع عشر: الضرر والضرورة الشرعيّة.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العشرون: تخطيط كهربيّة الدماغ (EEG).</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الحادي والعشرون: اختبار انقطاع النفَس (Apnea Test).</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والعشرون: التوجيهات الطبيّة المسبقة.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63</w:t>
            </w:r>
          </w:p>
        </w:tc>
      </w:tr>
    </w:tbl>
    <w:p>
      <w:pPr>
        <w:spacing w:before="200" w:after="0"/>
      </w:pPr>
    </w:p>
    <w:p>
      <w:pPr>
        <w:bidi/>
        <w:spacing w:before="240" w:after="160"/>
        <w:jc w:val="center"/>
      </w:pPr>
      <w:r>
        <w:rPr>
          <w:rFonts w:ascii="Simplified Arabic" w:hAnsi="Simplified Arabic" w:cs="Simplified Arabic"/>
          <w:b/>
          <w:bCs/>
          <w:sz w:val="30"/>
          <w:szCs w:val="30"/>
          <w:rtl/>
        </w:rPr>
        <w:t>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65</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وعلاماته قبل ظهور أجهزة الإنعاش.</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ظهور الإنعاش الصناعيّ والعناية المركّزة في القرن العشرين.</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دخول المسألة الفقه الإسلاميّ المعاصر.</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الموت في نصوص الكتاب والسنّة.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الموت وأحكامه في الشرائع السماويّة والتشريعات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وتحديده في الشريعة اليهوديّة.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الموت والوسائل الاستثنائيّة في المسيحيّة.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78</w:t>
            </w:r>
          </w:p>
        </w:tc>
      </w:tr>
    </w:tbl>
    <w:p>
      <w:pPr>
        <w:spacing w:before="200" w:after="0"/>
      </w:pPr>
    </w:p>
    <w:p>
      <w:pPr>
        <w:bidi/>
        <w:spacing w:before="240" w:after="160"/>
        <w:jc w:val="center"/>
      </w:pPr>
      <w:r>
        <w:rPr>
          <w:rFonts w:ascii="Simplified Arabic" w:hAnsi="Simplified Arabic" w:cs="Simplified Arabic"/>
          <w:b/>
          <w:bCs/>
          <w:sz w:val="30"/>
          <w:szCs w:val="30"/>
          <w:rtl/>
        </w:rPr>
        <w:t>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الثالث: الآثار المتعلقة بنزع الأجهزة الطبيّة عن الميت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الآثار الفقهيّة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الآثار الطبيّة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الثالث: الآثار الاجتماعيّة والنفسيّة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90</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الرابع: الآثار القانونيّة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الخامس: الآثار الاقتصاديّة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السادس: الآثار العلميّة والتقنيّة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97</w:t>
            </w:r>
          </w:p>
        </w:tc>
      </w:tr>
    </w:tbl>
    <w:p>
      <w:pPr>
        <w:spacing w:before="200" w:after="0"/>
      </w:pPr>
    </w:p>
    <w:p>
      <w:pPr>
        <w:bidi/>
        <w:spacing w:before="240" w:after="160"/>
        <w:jc w:val="center"/>
      </w:pPr>
      <w:r>
        <w:rPr>
          <w:rFonts w:ascii="Simplified Arabic" w:hAnsi="Simplified Arabic" w:cs="Simplified Arabic"/>
          <w:b/>
          <w:bCs/>
          <w:sz w:val="30"/>
          <w:szCs w:val="30"/>
          <w:rtl/>
        </w:rPr>
        <w:t>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الرابع: التأصيل الفقهيّ للمسألة، تحرير المسألة، أقوال الفقهاء، وموقف القانون والطبّ</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تأصيل المسألة فقهيًّا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تصوير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مقاصد الشريعة الإسلاميّة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فلسفة مقاصد الشريعة الإسلاميّة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ربط المسألة بالواقع.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105</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تحرير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بيان محلّ الاتفاق.</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بيان محلّ النزاع.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أسباب الاختلاف.</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التكييف الفقهيّ.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الأدلّة العامّة والقواعد الفقهيّة المتعلقة بالمسألة.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الثالث: أقوال الفقهاء في المسألة والقول الراجح</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بيان أقوال الفقهاء المؤيّدين (لجواز النزع) وأدلّتهم ومناقشتها.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بيان أقوال الفقهاء المعارضين وأدلّتهم ومناقشتها.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الردّ على الأدلّة.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القول الراجح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127</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الرابع: موقف القانون والطبّ والاجتماع والعلم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الموقف والأقوال القانونيّة (قوانين سبع دول).</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الموقف والأقوال الطبيّة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الموقف والأقوال الاجتماعيّة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الموقف والأقوال العلميّة والتقنيّة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139</w:t>
            </w:r>
          </w:p>
        </w:tc>
      </w:tr>
    </w:tbl>
    <w:p>
      <w:pPr>
        <w:spacing w:before="200" w:after="0"/>
      </w:pPr>
    </w:p>
    <w:p>
      <w:pPr>
        <w:bidi/>
        <w:spacing w:before="240" w:after="160"/>
        <w:jc w:val="center"/>
      </w:pPr>
      <w:r>
        <w:rPr>
          <w:rFonts w:ascii="Simplified Arabic" w:hAnsi="Simplified Arabic" w:cs="Simplified Arabic"/>
          <w:b/>
          <w:bCs/>
          <w:sz w:val="30"/>
          <w:szCs w:val="30"/>
          <w:rtl/>
        </w:rPr>
        <w:t>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الخامس: الفتاوى المؤيّدة والمعارضة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الفتاوى والقرارات المؤيّدة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قرار مجمع الفقه الإسلاميّ الدوليّ (عمّان 1986م).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توصية ندوة المنظمة الإسلاميّة للعلوم الطبيّة (الكويت 1985م).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فتوى دار الإفتاء المصريّة.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قرار مجلس الإفتاء والبحوث والدراسات الإسلاميّة الأردنيّ رقم (117).</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فتوى مركز الفتوى بإسلام ويب في حكم رفع الأجهزة عن الميت دماغيًّا.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149</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الفتاوى والقرارات المعارضة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قرار المجمع الفقهيّ برابطة العالم الإسلاميّ (مكة 1987م).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فتوى اللجنة الدائمة للبحوث العلميّة والإفتاء (السعوديّة).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فتوى الشيخ محمد بن صالح ابن عثيمين رحمه الله.</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158</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160</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163</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ملحق: نموذج مقترح لوثيقة تفهيم الأسرة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الفهارس</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167</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الآيات القرآنيّة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الأحاديث النبويّة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170</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الأعلام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المصادر والمراجع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أولًا: القرآن الكريم.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ثانيًا: المعاجم اللغويّة والاصطلاحيّة: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ثالثًا: كتب الحديث الشريف:</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رابعًا: كتب الفقه والأصول والقواعد والمقاصد:</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خامسًا: المراجع الفقهيّة والقانونيّة المعاصرة: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سادسًا: القرارات والفتاوى والقوانين:</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سابعًا: المراجع الأجنبيّة: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المحتويات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183</w:t>
            </w:r>
          </w:p>
        </w:tc>
      </w:tr>
    </w:tbl>
    <w:p>
      <w:pPr>
        <w:spacing w:before="200" w:after="0"/>
      </w:pPr>
    </w:p>
    <w:p>
      <w:pPr>
        <w:bidi/>
        <w:spacing w:before="600" w:after="240"/>
        <w:jc w:val="center"/>
      </w:pPr>
      <w:r>
        <w:rPr>
          <w:rFonts w:ascii="Simplified Arabic" w:hAnsi="Simplified Arabic" w:cs="Simplified Arabic"/>
          <w:b/>
          <w:bCs/>
          <w:sz w:val="48"/>
          <w:szCs w:val="48"/>
          <w:rtl/>
        </w:rPr>
        <w:t>تَمَّ والْحَمْدُ لله</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فارس، أحمد. معجم مقاييس اللغة (تحقيق عبد السلام هارون). بيروت: دار الفكر، مادة (حكم).</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(فقه).</w:t>
      </w:r>
    </w:p>
  </w:footnote>
  <w:footnote w:id="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(نزع).</w:t>
      </w:r>
    </w:p>
  </w:footnote>
  <w:footnote w:id="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الفيومي، أحمد بن محمد. المصباح المنير في غريب الشرح الكبير. بيروت: المكتبة العلمية.</w:t>
      </w:r>
    </w:p>
  </w:footnote>
  <w:footnote w:id="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(موت).</w:t>
      </w:r>
    </w:p>
  </w:footnote>
  <w:footnote w:id="1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الفيروزآبادي، مجد الدين. القاموس المحيط. بيروت: مؤسسة الرسالة، مادة (موت).</w:t>
      </w:r>
    </w:p>
  </w:footnote>
  <w:footnote w:id="1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13">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(سرر).</w:t>
      </w:r>
    </w:p>
  </w:footnote>
  <w:footnote w:id="16">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17">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19">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2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2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2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5">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6">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2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3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35">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3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38">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(حيا).</w:t>
      </w:r>
    </w:p>
  </w:footnote>
  <w:footnote w:id="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شمس الدين محمد بن أحمد الخطيب (1994). مغني المحتاج إلى معرفة معاني ألفاظ المنهاج. ط1، بيروت: دار الكتب العلمية، كتاب الجراح.</w:t>
      </w:r>
    </w:p>
  </w:footnote>
  <w:footnote w:id="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موقف الفقه الإسلامي من موت الدماغ والأجهزة المنعشة. مجلة مجمع الفقه الإسلامي، جدة، العدد الثالث.</w:t>
      </w:r>
    </w:p>
  </w:footnote>
  <w:footnote w:id="4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شمس الدين محمد بن أحمد الخطيب (1994). مغني المحتاج إلى معرفة معاني ألفاظ المنهاج. ط1، بيروت: دار الكتب العلمية، كتاب الجراح.</w:t>
      </w:r>
    </w:p>
  </w:footnote>
  <w:footnote w:id="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محمد أمين بن عمر (1992). ردّ المحتار على الدرّ المختار. ط2، بيروت: دار الفكر، كتاب الجنايات.</w:t>
      </w:r>
    </w:p>
  </w:footnote>
  <w:footnote w:id="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(روح).</w:t>
      </w:r>
    </w:p>
  </w:footnote>
  <w:footnote w:id="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(وفي).</w:t>
      </w:r>
    </w:p>
  </w:footnote>
  <w:footnote w:id="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(حرم).</w:t>
      </w:r>
    </w:p>
  </w:footnote>
  <w:footnote w:id="5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5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(1986). القرار رقم (5) بشأن أجهزة الإنعاش، الدورة الثالثة، عمّان.</w:t>
      </w:r>
    </w:p>
  </w:footnote>
  <w:footnote w:id="5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(ضرر).</w:t>
      </w:r>
    </w:p>
  </w:footnote>
  <w:footnote w:id="55">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أبو عبد الله مالك بن أنس (1985). موطأ مالك (تحقيق محمد فؤاد عبد الباقي). ط1، 3ج، القاهرة: دار الأصيل، رقم الحديث 1896، ج3، ص193.</w:t>
      </w:r>
    </w:p>
  </w:footnote>
  <w:footnote w:id="56">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57">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58">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59">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6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6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محمد أمين (1421هـ). ردّ المحتار على الدرّ المختار (حاشية ابن عابدين). بيروت: دار الفكر، كتاب الجنائز.</w:t>
      </w:r>
    </w:p>
  </w:footnote>
  <w:footnote w:id="6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الدسوقي، محمد بن أحمد. حاشية الدسوقي على الشرح الكبير. بيروت: دار الفكر، كتاب الجنائز.</w:t>
      </w:r>
    </w:p>
  </w:footnote>
  <w:footnote w:id="6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6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البهوتي، منصور بن يونس (1402هـ). كشّاف القناع عن متن الإقناع. بيروت: دار الفكر، كتاب الجنائز.</w:t>
      </w:r>
    </w:p>
  </w:footnote>
  <w:footnote w:id="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محمد بن أحمد. المبسوط. بيروت: دار المعرفة، كتاب الجنائز.</w:t>
      </w:r>
    </w:p>
  </w:footnote>
  <w:footnote w:id="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علاء الدين أبو بكر (1982). بدائع الصنائع في ترتيب الشرائع. بيروت: دار الكتاب العربي، كتاب الجنائز.</w:t>
      </w:r>
    </w:p>
  </w:footnote>
  <w:footnote w:id="6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القرافي، أحمد بن إدريس (1994). الذخيرة. بيروت: دار الغرب، كتاب الجنائز.</w:t>
      </w:r>
    </w:p>
  </w:footnote>
  <w:footnote w:id="7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الحطّاب، محمد بن محمد (1398هـ). مواهب الجليل في شرح مختصر خليل. بيروت: دار الفكر، كتاب الجنائز.</w:t>
      </w:r>
    </w:p>
  </w:footnote>
  <w:footnote w:id="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يحيى بن شرف (1997). المجموع شرح المهذّب. بيروت: دار الفكر، كتاب الجنائز.</w:t>
      </w:r>
    </w:p>
  </w:footnote>
  <w:footnote w:id="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الرملي، محمد بن أحمد (1404هـ). نهاية المحتاج إلى شرح المنهاج. بيروت: دار الفكر للطباعة، كتاب الجنائز.</w:t>
      </w:r>
    </w:p>
  </w:footnote>
  <w:footnote w:id="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المرداوي، علاء الدين علي بن سليمان. الإنصاف في معرفة الراجح من الخلاف. بيروت: دار إحياء التراث العربي، كتاب الجنائز.</w:t>
      </w:r>
    </w:p>
  </w:footnote>
  <w:footnote w:id="7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5">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77">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78">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8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8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83">
    <w:p>
      <w:pPr>
        <w:bidi/>
        <w:spacing w:line="240"/>
        <w:jc w:val="both"/>
      </w:pPr>
      <w:r>
        <w:rPr>
          <w:rStyle w:val="FootnoteReference"/>
        </w:rPr>
        <w:footnoteRef/>
      </w:r>
      <w:r>
        <w:rPr>
          <w:rFonts w:ascii="Simplified Arabic" w:cs="Simplified Arabic" w:eastAsia="Simplified Arabic" w:hAnsi="Simplified Arabic"/>
          <w:sz w:val="24"/>
          <w:szCs w:val="24"/>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8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الجنائز، رقم الحديث 1315.</w:t>
      </w:r>
    </w:p>
  </w:footnote>
  <w:footnote w:id="86">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87">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88">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89">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90">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91">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92">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9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9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9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9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97">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9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100">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02">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03">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04">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05">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0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0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10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10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1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11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13">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5">
    <w:p>
      <w:pPr>
        <w:bidi/>
        <w:spacing w:line="240"/>
        <w:jc w:val="both"/>
      </w:pPr>
      <w:r>
        <w:rPr>
          <w:rStyle w:val="FootnoteReference"/>
        </w:rPr>
        <w:footnoteRef/>
      </w:r>
      <w:r>
        <w:rPr>
          <w:rFonts w:ascii="Simplified Arabic" w:cs="Simplified Arabic" w:eastAsia="Simplified Arabic" w:hAnsi="Simplified Arabic"/>
          <w:sz w:val="24"/>
          <w:szCs w:val="24"/>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1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w:t>
      </w:r>
    </w:p>
  </w:footnote>
  <w:footnote w:id="11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عاشور، محمد الطاهر. مقاصد الشريعة الإسلامية. تونس: الدار التونسية للنشر.</w:t>
      </w:r>
    </w:p>
  </w:footnote>
  <w:footnote w:id="11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w:t>
      </w:r>
    </w:p>
  </w:footnote>
  <w:footnote w:id="1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عاشور، محمد الطاهر. مقاصد الشريعة الإسلامية. تونس: الدار التونسية للنشر.</w:t>
      </w:r>
    </w:p>
  </w:footnote>
  <w:footnote w:id="1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الريسوني، أحمد (2010). مدخل إلى مقاصد الشريعة. ط1، المنصورة: دار الكلمة.</w:t>
      </w:r>
    </w:p>
  </w:footnote>
  <w:footnote w:id="122">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3">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2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6">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27">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28">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29">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أبو عبد الله مالك بن أنس (1985). موطأ مالك (تحقيق محمد فؤاد عبد الباقي). ط1، 3ج، القاهرة: دار الأصيل، رقم الحديث 1896، ج3، ص193.</w:t>
      </w:r>
    </w:p>
  </w:footnote>
  <w:footnote w:id="1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الطب، رقم الحديث 5678.</w:t>
      </w:r>
    </w:p>
  </w:footnote>
  <w:footnote w:id="131">
    <w:p>
      <w:pPr>
        <w:bidi/>
        <w:spacing w:line="240"/>
        <w:jc w:val="both"/>
      </w:pPr>
      <w:r>
        <w:rPr>
          <w:rStyle w:val="FootnoteReference"/>
        </w:rPr>
        <w:footnoteRef/>
      </w:r>
      <w:r>
        <w:rPr>
          <w:rFonts w:ascii="Simplified Arabic" w:cs="Simplified Arabic" w:eastAsia="Simplified Arabic" w:hAnsi="Simplified Arabic"/>
          <w:sz w:val="24"/>
          <w:szCs w:val="24"/>
          <w:rtl/>
        </w:rPr>
        <w:t xml:space="preserve"> مسلم بن الحجاج القشيري النيسابوري (2006). صحيح مسلم (تحقيق نظر الفاريابي). ط1، المنصورة: مكتبة الإيمان، رقم الحديث 1631.</w:t>
      </w:r>
    </w:p>
  </w:footnote>
  <w:footnote w:id="132">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3">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4">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3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3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3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13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140">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41">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1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46">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50">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2">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53">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4">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5">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57">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8">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9">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62">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الصحة العامة الفلسطيني رقم (20) لسنة 2004م.</w:t>
      </w:r>
    </w:p>
  </w:footnote>
  <w:footnote w:id="163">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الصحة العامة الفلسطيني رقم (20) لسنة 2004م.</w:t>
      </w:r>
    </w:p>
  </w:footnote>
  <w:footnote w:id="16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الانتفاع بأعضاء جسم الإنسان الأردني رقم (23) لسنة 1977م وتعديلاته؛ وينظر: الزرعوني، راشد محمود (2024). المرجع السابق ذكره.</w:t>
      </w:r>
    </w:p>
  </w:footnote>
  <w:footnote w:id="165">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6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9">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70">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71">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173">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174">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1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77">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78">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79">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180">
    <w:p>
      <w:pPr>
        <w:bidi/>
        <w:spacing w:line="240"/>
        <w:jc w:val="both"/>
      </w:pPr>
      <w:r>
        <w:rPr>
          <w:rStyle w:val="FootnoteReference"/>
        </w:rPr>
        <w:footnoteRef/>
      </w:r>
      <w:r>
        <w:rPr>
          <w:rFonts w:ascii="Simplified Arabic" w:cs="Simplified Arabic" w:eastAsia="Simplified Arabic" w:hAnsi="Simplified Arabic"/>
          <w:sz w:val="24"/>
          <w:szCs w:val="24"/>
          <w:rtl/>
        </w:rPr>
        <w:t xml:space="preserve"> Greer, D. M., Shemie, S. D., Lewis, A., et al. (2020). Determination of Brain Death/Death by Neurologic Criteria: The World Brain Death Project. JAMA, 324(11), 1078-1097.</w:t>
      </w:r>
    </w:p>
  </w:footnote>
  <w:footnote w:id="181">
    <w:p>
      <w:pPr>
        <w:bidi/>
        <w:spacing w:line="240"/>
        <w:jc w:val="both"/>
      </w:pPr>
      <w:r>
        <w:rPr>
          <w:rStyle w:val="FootnoteReference"/>
        </w:rPr>
        <w:footnoteRef/>
      </w:r>
      <w:r>
        <w:rPr>
          <w:rFonts w:ascii="Simplified Arabic" w:cs="Simplified Arabic" w:eastAsia="Simplified Arabic" w:hAnsi="Simplified Arabic"/>
          <w:sz w:val="24"/>
          <w:szCs w:val="24"/>
          <w:rtl/>
        </w:rPr>
        <w:t xml:space="preserve"> Greer, D. M., Kirschen, M. P., Lewis, A., et al. (2023). Pediatric and Adult Brain Death/Death by Neurologic Criteria Consensus Guideline. Neurology, 101(24), 1112-1132.</w:t>
      </w:r>
    </w:p>
  </w:footnote>
  <w:footnote w:id="182">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84">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85">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8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8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8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89">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0">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2">
    <w:p>
      <w:pPr>
        <w:bidi/>
        <w:spacing w:line="240"/>
        <w:jc w:val="right"/>
      </w:pPr>
      <w:r>
        <w:rPr>
          <w:rStyle w:val="FootnoteReference"/>
        </w:rPr>
        <w:footnoteRef/>
      </w:r>
      <w:r>
        <w:rPr>
          <w:rFonts w:ascii="Simplified Arabic" w:cs="Simplified Arabic" w:eastAsia="Simplified Arabic" w:hAnsi="Simplified Arabic"/>
          <w:sz w:val="24"/>
          <w:szCs w:val="24"/>
          <w:rtl/>
        </w:rPr>
        <w:t xml:space="preserve"> دار الإفتاء المصرية. الفتوى رقم (11622): حكم رفع الأجهزة الطبية عن المريض الميؤوس من شفائه. القاهرة. https://dar-alifta.org/ar/fatwa/details/11622</w:t>
      </w:r>
    </w:p>
  </w:footnote>
  <w:footnote w:id="19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94">
    <w:p>
      <w:pPr>
        <w:bidi/>
        <w:spacing w:line="240"/>
        <w:jc w:val="right"/>
      </w:pPr>
      <w:r>
        <w:rPr>
          <w:rStyle w:val="FootnoteReference"/>
        </w:rPr>
        <w:footnoteRef/>
      </w:r>
      <w:r>
        <w:rPr>
          <w:rFonts w:ascii="Simplified Arabic" w:cs="Simplified Arabic" w:eastAsia="Simplified Arabic" w:hAnsi="Simplified Arabic"/>
          <w:sz w:val="24"/>
          <w:szCs w:val="24"/>
          <w:rtl/>
        </w:rPr>
        <w:t xml:space="preserve"> دار الإفتاء المصرية. الفتوى رقم (11622): حكم رفع الأجهزة الطبية عن المريض الميؤوس من شفائه. القاهرة. https://dar-alifta.org/ar/fatwa/details/11622</w:t>
      </w:r>
    </w:p>
  </w:footnote>
  <w:footnote w:id="195">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96">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97">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مركز الفتوى بإسلام ويب. فتوى رقم (9005): حكم رفع الأجهزة عن الميت دماغيًا. https://www.islamweb.net/ar/fatwa/9005</w:t>
      </w:r>
    </w:p>
  </w:footnote>
  <w:footnote w:id="19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20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2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20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20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cs3rjpir-5lu2syqzqsi" Type="http://schemas.openxmlformats.org/officeDocument/2006/relationships/hyperlink" Target="https://journals.ekb.eg/article_368941_0.html" TargetMode="External"/><Relationship Id="rId_eka93sna7v0tne68d6pp" Type="http://schemas.openxmlformats.org/officeDocument/2006/relationships/hyperlink" Target="https://mjle.journals.ekb.eg/article_368941_50690f4113b5efc26ad3acb040dabad4.pdf" TargetMode="External"/><Relationship Id="rId9kdtgxhsnorvrm8icmdha" Type="http://schemas.openxmlformats.org/officeDocument/2006/relationships/hyperlink" Target="https://search.mandumah.com/Record/1633970" TargetMode="External"/><Relationship Id="rIde_q7xpzgzay7bvbveix47" Type="http://schemas.openxmlformats.org/officeDocument/2006/relationships/hyperlink" Target="https://doi.org/10.65414/najsp.v2i4.281" TargetMode="External"/><Relationship Id="rIdme-nisa3r9_jwyajgyafp" Type="http://schemas.openxmlformats.org/officeDocument/2006/relationships/hyperlink" Target="https://doi.org/10.61353/ma.0000141" TargetMode="External"/><Relationship Id="rId0zgpup7foi60p_4i2hwks" Type="http://schemas.openxmlformats.org/officeDocument/2006/relationships/hyperlink" Target="https://www.researchgate.net/publication/393318043" TargetMode="External"/><Relationship Id="rIdfkqnvlrwwubwcizwthnlx" Type="http://schemas.openxmlformats.org/officeDocument/2006/relationships/hyperlink" Target="https://bcchj.uobabylon.edu.iq/index.php/bcchj/ar/article/view/1016" TargetMode="External"/><Relationship Id="rId8j694n3v6wtjhxvuqv7bz" Type="http://schemas.openxmlformats.org/officeDocument/2006/relationships/hyperlink" Target="https://asjp.cerist.dz/en/article/198662" TargetMode="External"/><Relationship Id="rId-rzftf7rmqt7qtx-aynlm" Type="http://schemas.openxmlformats.org/officeDocument/2006/relationships/hyperlink" Target="https://search.mandumah.com/Record/1232048" TargetMode="External"/><Relationship Id="rIdgn8iryjh7qfooqbcnixwk" Type="http://schemas.openxmlformats.org/officeDocument/2006/relationships/hyperlink" Target="https://journals.alqasimia.ac.ae/index.php/ssis/article/view/66" TargetMode="External"/><Relationship Id="rIdhcyyqm6hw5jimjkauvpkb" Type="http://schemas.openxmlformats.org/officeDocument/2006/relationships/hyperlink" Target="https://www.ajrsp.com/vol/issue31/" TargetMode="External"/><Relationship Id="rIdn0bmgaszoug2ks0fjkiua" Type="http://schemas.openxmlformats.org/officeDocument/2006/relationships/hyperlink" Target="https://dspace.univ-eloued.dz/handle/123456789/15831" TargetMode="External"/><Relationship Id="rId1c94z1llozap1mb38qqjd" Type="http://schemas.openxmlformats.org/officeDocument/2006/relationships/hyperlink" Target="https://asjp.cerist.dz/en/article/91461" TargetMode="External"/><Relationship Id="rIdk2izkk0yserphzwhfeyqn" Type="http://schemas.openxmlformats.org/officeDocument/2006/relationships/hyperlink" Target="https://asjp.cerist.dz/en/article/26599" TargetMode="External"/><Relationship Id="rIdznepcnwzm075mvopulds7" Type="http://schemas.openxmlformats.org/officeDocument/2006/relationships/hyperlink" Target="https://www.damascusuniversity.edu.sy/mag/law/images/stories/479-500.pdf" TargetMode="External"/><Relationship Id="rId--w8mbfv3pu_p4fxtutjm" Type="http://schemas.openxmlformats.org/officeDocument/2006/relationships/hyperlink" Target="https://search.mandumah.com/Record/167975" TargetMode="External"/><Relationship Id="rIdcedi7hhixhzd9nu7zmqhw" Type="http://schemas.openxmlformats.org/officeDocument/2006/relationships/hyperlink" Target="https://iifa-aifi.org/ar/journal" TargetMode="External"/><Relationship Id="rIda09u-5vwsdgeqzjiifmt1" Type="http://schemas.openxmlformats.org/officeDocument/2006/relationships/hyperlink" Target="https://www.cambridge.org/core/services/aop-cambridge-core/content/view/F891733330C5E4ADCB8C5BB0235E271F" TargetMode="External"/><Relationship Id="rIdfyibphxlphtjqcoqhf1px" Type="http://schemas.openxmlformats.org/officeDocument/2006/relationships/hyperlink" Target="https://doi.org/10.3389/fneur.2024.1491263" TargetMode="External"/><Relationship Id="rIdngbhmngnqnaz3jfzmiqmm" Type="http://schemas.openxmlformats.org/officeDocument/2006/relationships/hyperlink" Target="https://www.walshmedicalmedia.com/open-access/clinical-death-a-reversible-state-of-cardiac-arrest-119791.html" TargetMode="External"/><Relationship Id="rIdveyysid_jvob_maazd5wv" Type="http://schemas.openxmlformats.org/officeDocument/2006/relationships/hyperlink" Target="https://doi.org/10.1212/WNL.0000000000207740" TargetMode="External"/><Relationship Id="rId6gbehsy99sgyqufgfeyvh" Type="http://schemas.openxmlformats.org/officeDocument/2006/relationships/hyperlink" Target="https://doi.org/10.1001/jama.2020.11586" TargetMode="External"/><Relationship Id="rIdc_juchtotp4q66irhoyqo" Type="http://schemas.openxmlformats.org/officeDocument/2006/relationships/hyperlink" Target="https://doi.org/10.1038/nrneurol.2017.172" TargetMode="External"/><Relationship Id="rIdxps6v2xq-yd5qtt9itoby" Type="http://schemas.openxmlformats.org/officeDocument/2006/relationships/hyperlink" Target="https://pmc.ncbi.nlm.nih.gov/articles/PMC7595719/" TargetMode="External"/><Relationship Id="rIdmoezxz-he3umx5r_pjohy" Type="http://schemas.openxmlformats.org/officeDocument/2006/relationships/hyperlink" Target="https://doi.org/10.1212/WNL.0000000000006750" TargetMode="External"/><Relationship Id="rId0f4rtuipfblej4fp-afqb" Type="http://schemas.openxmlformats.org/officeDocument/2006/relationships/hyperlink" Target="https://doi.org/10.2147/MB.S70369" TargetMode="External"/><Relationship Id="rIdvae2w79ks_zf5dqhqhabm"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2026-08-30T19:03:54.036Z</dcterms:created>
  <dcterms:modified xsi:type="dcterms:W3CDTF">2026-08-30T19:03:54.036Z</dcterms:modified>
</cp:coreProperties>
</file>

<file path=docProps/custom.xml><?xml version="1.0" encoding="utf-8"?>
<Properties xmlns="http://schemas.openxmlformats.org/officeDocument/2006/custom-properties" xmlns:vt="http://schemas.openxmlformats.org/officeDocument/2006/docPropsVTypes"/>
</file>