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rPr>
        <w:t xml:space="preserve">סקירת ספרות: הוראה מודעת טראומה בישראל, 2021–2026</w:t>
      </w:r>
    </w:p>
    <w:p>
      <w:pPr>
        <w:bidi/>
        <w:spacing w:after="200" w:before="0" w:line="360"/>
        <w:jc w:val="center"/>
      </w:pPr>
      <w:r>
        <w:rPr>
          <w:rFonts w:ascii="Times New Roman" w:cs="David" w:eastAsia="Times New Roman" w:hAnsi="Times New Roman"/>
          <w:b w:val="false"/>
          <w:sz w:val="26"/>
          <w:szCs w:val="30"/>
          <w:rtl/>
        </w:rPr>
        <w:t xml:space="preserve">סינתזה של 21 מאמרים שפיטים לאור הספר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rPr>
        <w:t xml:space="preserve">פרק סקירת ספרות לעבודה אקדמית, כולל רשימת מקורות בכללי APA</w:t>
      </w:r>
    </w:p>
    <w:p>
      <w:pPr>
        <w:bidi/>
        <w:spacing w:after="200" w:before="0" w:line="360"/>
        <w:jc w:val="center"/>
      </w:pPr>
      <w:r>
        <w:rPr>
          <w:rFonts w:ascii="Times New Roman" w:cs="David" w:eastAsia="Times New Roman" w:hAnsi="Times New Roman"/>
          <w:b w:val="false"/>
          <w:sz w:val="24"/>
          <w:szCs w:val="28"/>
          <w:rt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rPr>
        <w:t xml:space="preserve">מבוא</w:t>
      </w:r>
    </w:p>
    <w:p>
      <w:pPr>
        <w:bidi/>
        <w:spacing w:after="120" w:before="0" w:line="360"/>
        <w:jc w:val="both"/>
      </w:pPr>
      <w:r>
        <w:rPr>
          <w:rFonts w:ascii="Times New Roman" w:cs="David" w:eastAsia="Times New Roman" w:hAnsi="Times New Roman"/>
          <w:b w:val="false"/>
          <w:i w:val="false"/>
          <w:iCs w:val="false"/>
          <w:sz w:val="28"/>
          <w:szCs w:val="26"/>
          <w:rtl/>
        </w:rPr>
        <w:t xml:space="preserve">טראומה בקרב ילדים ובני נוער אינה עניין של אירוע בלבד, אלא של חוויה והשפעה. על פי הגדרת המינהל האמריקני לשירותי בריאות הנפש (SAMHSA), המובאת בספר Becoming Trauma Responsive (Lane et al., 2025), אירוע נחשב טראומטי כאשר הוא נחווה כאיום על החיים או כאובדן שליטה, וכאשר השפעותיו על התפקוד היום-יומי מתמשכות. הספר מציע לאנשי חינוך, ליועצים ולמטפלים, המכונים בו "עוזרים", מסגרת מעשית להבנת המוח בעת איום, לזיהוי תגובות הילחם-ברח-קפא בכיתה, לבניית עקביות ורוגע, לטיפוח יחסי התקשרות ולשמירה על עצמם מפני טראומה משנית. סקירה זו בוחנת כיצד המחקר הישראלי מהשנים 2021–2026 מאיר את מרכיבי המסגרת הזאת, ומהם הפערים שנותרו.</w:t>
      </w:r>
    </w:p>
    <w:p>
      <w:pPr>
        <w:bidi/>
        <w:spacing w:after="120" w:before="0" w:line="360"/>
        <w:jc w:val="both"/>
      </w:pPr>
      <w:r>
        <w:rPr>
          <w:rFonts w:ascii="Times New Roman" w:cs="David" w:eastAsia="Times New Roman" w:hAnsi="Times New Roman"/>
          <w:b w:val="false"/>
          <w:i w:val="false"/>
          <w:iCs w:val="false"/>
          <w:sz w:val="28"/>
          <w:szCs w:val="26"/>
          <w:rtl/>
        </w:rPr>
        <w:t xml:space="preserve">הסקירה מאורגנת בחמישה חלקים הנגזרים מפרקי הספר: טראומה קולקטיבית וילדים ובני נוער בישראל; התנהגויות מוחצנות ומופנמות כביטוי לדיסרגולציה; המורה והיועצת כדמויות התקשרות; ויסות עצמי של אנשי החינוך והתשתית הארגונית התומכת בו; וטראומה משנית, שחיקה וחמלה עצמית. החלק האחרון מסכם את המסקנות ומצביע על פערים במחקר. הסקירה נשענת על 12 מאמרים בעברית ו-9 מאמרים באנגלית, כולם שפיטים ובגישה פתוחה, שנבחרו על פי הקריטריונים המפורטים ברשימת המקורות הנלווית.</w:t>
      </w:r>
    </w:p>
    <w:p>
      <w:pPr>
        <w:pStyle w:val="Heading2"/>
        <w:keepNext/>
        <w:bidi/>
        <w:spacing w:after="120" w:before="200" w:line="360"/>
        <w:jc w:val="right"/>
      </w:pPr>
      <w:r>
        <w:rPr>
          <w:rFonts w:ascii="Times New Roman" w:cs="David" w:eastAsia="Times New Roman" w:hAnsi="Times New Roman"/>
          <w:b/>
          <w:bCs/>
          <w:sz w:val="32"/>
          <w:szCs w:val="36"/>
          <w:rtl/>
        </w:rPr>
        <w:t xml:space="preserve">טראומה קולקטיבית וילדים ובני נוער בישראל</w:t>
      </w:r>
    </w:p>
    <w:p>
      <w:pPr>
        <w:bidi/>
        <w:spacing w:after="120" w:before="0" w:line="360"/>
        <w:jc w:val="both"/>
      </w:pPr>
      <w:r>
        <w:rPr>
          <w:rFonts w:ascii="Times New Roman" w:cs="David" w:eastAsia="Times New Roman" w:hAnsi="Times New Roman"/>
          <w:b w:val="false"/>
          <w:i w:val="false"/>
          <w:iCs w:val="false"/>
          <w:sz w:val="28"/>
          <w:szCs w:val="26"/>
          <w:rtl/>
        </w:rPr>
        <w:t xml:space="preserve">ההקשר הישראלי של השנים האחרונות מספק, למרבה הצער, שדה מחקר עשיר לחקר טראומה בקרב ילדים. מגפת הקורונה, ואחריה מתקפת 7 באוקטובר 2023 ומלחמת "חרבות ברזל", יצרו מציאות של טראומה קולקטיבית מתמשכת שבה בתי הספר נדרשו לתפקד בו-זמנית כמרחב למידה וכמרחב של ביטחון וויסות. רפאלי, סולד ואהרונסון-דניאל (Refaeli et al., 2025), שסקרו 744 מתבגרים בגילאי 14–18 בחודשים אוקטובר–דצמבר 2024, מצאו שכיחות גבוהה של הפרעת דחק פוסט-טראומטית משוערת, וזיהו חוסן אישי ותמיכה חברתית כגורמים מגנים. אולינובר וחממה (Olinover &amp; Hamama, 2025) הוסיפו לכך תמונה מבחינה: בניתוח פרופילים סמויים של 305 מתבגרים זוהו שלוש קבוצות פגיעות, נמוכה, בינונית וגבוהה, כאשר התמיכה החברתית הנתפסת הייתה המשתנה שהבחין ביותר ביניהן, וגיל צעיר ומרחק מגזרת הגבול הפחיתו את הפגיעות.</w:t>
      </w:r>
    </w:p>
    <w:p>
      <w:pPr>
        <w:bidi/>
        <w:spacing w:after="120" w:before="0" w:line="360"/>
        <w:jc w:val="both"/>
      </w:pPr>
      <w:r>
        <w:rPr>
          <w:rFonts w:ascii="Times New Roman" w:cs="David" w:eastAsia="Times New Roman" w:hAnsi="Times New Roman"/>
          <w:b w:val="false"/>
          <w:i w:val="false"/>
          <w:iCs w:val="false"/>
          <w:sz w:val="28"/>
          <w:szCs w:val="26"/>
          <w:rtl/>
        </w:rPr>
        <w:t xml:space="preserve">שני המחקרים הללו מאששים את הטענה המרכזית בפרק הראשון של הספר, שלפיה תגובות לטראומה שונות מאוד בין ילדים, ושמערכות יחסים תומכות הן הגורם המכריע בהתמודדות. הם גם מספקים בסיס אמפירי לגישה מדורגת: לא כל התלמידים זקוקים לאותו מענה, ואיתור הפרופיל הפגיע מאפשר מיקוד משאבים.</w:t>
      </w:r>
    </w:p>
    <w:p>
      <w:pPr>
        <w:bidi/>
        <w:spacing w:after="120" w:before="0" w:line="360"/>
        <w:jc w:val="both"/>
      </w:pPr>
      <w:r>
        <w:rPr>
          <w:rFonts w:ascii="Times New Roman" w:cs="David" w:eastAsia="Times New Roman" w:hAnsi="Times New Roman"/>
          <w:b w:val="false"/>
          <w:i w:val="false"/>
          <w:iCs w:val="false"/>
          <w:sz w:val="28"/>
          <w:szCs w:val="26"/>
          <w:rtl/>
        </w:rPr>
        <w:t xml:space="preserve">בתוך בית הספר, המלחמה יצרה אוכלוסיות של תלמידים בעלי צרכים ייחודיים. זכאי משיח (2026) תיאר, מנקודת מבטם של צוותים חינוכיים, את חוויית קליטתם של תלמידים שפונו מיישובי הדרום והצפון: תלמידים "לא פה ולא שם", המתקשים להשתלב רגשית וחברתית בכיתה קולטת שגם היא מתמודדת עם המצב. נסים (2025) בחנה את החינוך המיוחד בזמן המלחמה ומצאה שמחנכות דיווחו על עלייה בחרדה ובהתנהגויות מאתגרות אצל תלמידיהן, לצד היעדרות ממושכת של הורים בשירות מילואים ופינוי מהבית. בן-אשר, שלו ובן-עטר (2025) התמקדו בממד אחר: האופן שבו ילדים נחשפים למידע על האירועים, ובכלל זה סרטונים המופצים בין חברי כיתה, והצורך של הורים וצוותי חינוך לתווך להם מציאות מורכבת באופן מותאם גיל. מחקרן, המשלב נתונים כמותיים וממצאים איכותניים, מציע המלצות לצוותי בית הספר על תיווך מידע מהימן כדרך למנוע פגיעה בתפקוד ובהתפתחות.</w:t>
      </w:r>
    </w:p>
    <w:p>
      <w:pPr>
        <w:pStyle w:val="Heading2"/>
        <w:keepNext/>
        <w:bidi/>
        <w:spacing w:after="120" w:before="200" w:line="360"/>
        <w:jc w:val="right"/>
      </w:pPr>
      <w:r>
        <w:rPr>
          <w:rFonts w:ascii="Times New Roman" w:cs="David" w:eastAsia="Times New Roman" w:hAnsi="Times New Roman"/>
          <w:b/>
          <w:bCs/>
          <w:sz w:val="32"/>
          <w:szCs w:val="36"/>
          <w:rtl/>
        </w:rPr>
        <w:t xml:space="preserve">התנהגויות מוחצנות ומופנמות כביטוי לדיסרגולציה</w:t>
      </w:r>
    </w:p>
    <w:p>
      <w:pPr>
        <w:bidi/>
        <w:spacing w:after="120" w:before="0" w:line="360"/>
        <w:jc w:val="both"/>
      </w:pPr>
      <w:r>
        <w:rPr>
          <w:rFonts w:ascii="Times New Roman" w:cs="David" w:eastAsia="Times New Roman" w:hAnsi="Times New Roman"/>
          <w:b w:val="false"/>
          <w:i w:val="false"/>
          <w:iCs w:val="false"/>
          <w:sz w:val="28"/>
          <w:szCs w:val="26"/>
          <w:rtl/>
        </w:rPr>
        <w:t xml:space="preserve">הפרק השלישי בספר מבחין בין התנהגויות מוחצנות, כתוקפנות והתפרצויות, לבין התנהגויות מופנמות, כנסיגה, פגיעה עצמית וקשיי ריכוז, ורואה בשתיהן ביטוי לניסיון של הילד להשיג תחושת ביטחון. המחקר הישראלי תומך בהבחנה זו ומוסיף לה את נקודת המבט של אנשי המקצוע. לבקוביץ ואמיתי (2023) חקרו את חוויותיהם של יועצים חינוכיים בליווי מתבגרים שפגעו בעצמם, דוגמה מובהקת להתנהגות מופנמת. היועצים תיארו חשש מפני יעילות תגובתם ומחסור בהכשרה, במשאבים ובהנחיות ברורות, ממצא המדגיש שגם אנשי המקצוע הקרובים ביותר לתלמיד זקוקים להדרכה ולתמיכה.</w:t>
      </w:r>
    </w:p>
    <w:p>
      <w:pPr>
        <w:bidi/>
        <w:spacing w:after="120" w:before="0" w:line="360"/>
        <w:jc w:val="both"/>
      </w:pPr>
      <w:r>
        <w:rPr>
          <w:rFonts w:ascii="Times New Roman" w:cs="David" w:eastAsia="Times New Roman" w:hAnsi="Times New Roman"/>
          <w:b w:val="false"/>
          <w:i w:val="false"/>
          <w:iCs w:val="false"/>
          <w:sz w:val="28"/>
          <w:szCs w:val="26"/>
          <w:rtl/>
        </w:rPr>
        <w:t xml:space="preserve">קיים, לב-ארי ועדיני (Kaim et al., 2023) בחנו את המצוקה בקרב תלמידי תיכון, הורים, מורים ומנהלים לאחר יותר משנתיים של מגפה, ומצאו שהלמידה מרחוק פגעה בתקשורת ובתפקוד הפסיכו-חברתי, ושהמצוקה נותרה גבוהה במיוחד בקרב התלמידים. ממצא זה מזכיר שגם היעדר קשר, ולא רק אירוע חד, יכול לערער את תחושת הביטחון של ילדים, ברוח דבריו של הספר על "הדברים הטובים שלא קרו". ממצאיה של נסים (2025) על עלייה בהתנהגויות מאתגרות בחינוך המיוחד בזמן המלחמה משלימים את התמונה ומראים שהדיסרגולציה מתעצמת בקרב תלמידים שכבר מלכתחילה מתקשים בוויסות.</w:t>
      </w:r>
    </w:p>
    <w:p>
      <w:pPr>
        <w:pStyle w:val="Heading2"/>
        <w:keepNext/>
        <w:bidi/>
        <w:spacing w:after="120" w:before="200" w:line="360"/>
        <w:jc w:val="right"/>
      </w:pPr>
      <w:r>
        <w:rPr>
          <w:rFonts w:ascii="Times New Roman" w:cs="David" w:eastAsia="Times New Roman" w:hAnsi="Times New Roman"/>
          <w:b/>
          <w:bCs/>
          <w:sz w:val="32"/>
          <w:szCs w:val="36"/>
          <w:rtl/>
        </w:rPr>
        <w:t xml:space="preserve">המורה והיועצת כדמויות התקשרות</w:t>
      </w:r>
    </w:p>
    <w:p>
      <w:pPr>
        <w:bidi/>
        <w:spacing w:after="120" w:before="0" w:line="360"/>
        <w:jc w:val="both"/>
      </w:pPr>
      <w:r>
        <w:rPr>
          <w:rFonts w:ascii="Times New Roman" w:cs="David" w:eastAsia="Times New Roman" w:hAnsi="Times New Roman"/>
          <w:b w:val="false"/>
          <w:i w:val="false"/>
          <w:iCs w:val="false"/>
          <w:sz w:val="28"/>
          <w:szCs w:val="26"/>
          <w:rtl/>
        </w:rPr>
        <w:t xml:space="preserve">פרק 5 בספר מציב את מערכות היחסים במרכז: "אנשים, לא תוכניות, משנים אנשים". המחקר הישראלי מספק לטענה זו תימוכין אמפיריים חזקים. יוקל ורומי (2024) השוו את איכות היחסים מורה–תלמיד בקרב תלמידים במצבי סיכון לבין תלמידים שאינם בסיכון, ומצאו שתלמידים בסיכון זקוקים רגשית לקשר משמעותי עם מוריהם יותר מעמיתיהם. המורה, במונחי תיאוריית ההתקשרות, משמש להם "בסיס בטוח" שאין לו תחליף.</w:t>
      </w:r>
    </w:p>
    <w:p>
      <w:pPr>
        <w:bidi/>
        <w:spacing w:after="120" w:before="0" w:line="360"/>
        <w:jc w:val="both"/>
      </w:pPr>
      <w:r>
        <w:rPr>
          <w:rFonts w:ascii="Times New Roman" w:cs="David" w:eastAsia="Times New Roman" w:hAnsi="Times New Roman"/>
          <w:b w:val="false"/>
          <w:i w:val="false"/>
          <w:iCs w:val="false"/>
          <w:sz w:val="28"/>
          <w:szCs w:val="26"/>
          <w:rtl/>
        </w:rPr>
        <w:t xml:space="preserve">שור-קרספין, סלון וקנת-מימון (Shur-Kraspin et al., 2025) הרחיבו את הממצא הזה לרמת המערכת. במחקר רב-רמתי שכלל 1,260 תלמידים ו-62 מחנכים בכיתות ח–יא, נמצא קשר חיובי בין חשיפת תלמידים לעימות מזוין לבין תסמינים פסיכיאטריים, אך שביעות הרצון של המחנך מחייו ותחושת המסוגלות שלו בבית הספר מיתנו את הקשר. במילים אחרות, רווחתו של המחנך היא גורם מגן עבור תלמידיו. ממצא זה קושר במישרין בין פרק 5 לפרק 7 בספר: הטיפול העצמי של המורה אינו מותרות אלא תנאי ליכולתו להגן על תלמידיו.</w:t>
      </w:r>
    </w:p>
    <w:p>
      <w:pPr>
        <w:bidi/>
        <w:spacing w:after="120" w:before="0" w:line="360"/>
        <w:jc w:val="both"/>
      </w:pPr>
      <w:r>
        <w:rPr>
          <w:rFonts w:ascii="Times New Roman" w:cs="David" w:eastAsia="Times New Roman" w:hAnsi="Times New Roman"/>
          <w:b w:val="false"/>
          <w:i w:val="false"/>
          <w:iCs w:val="false"/>
          <w:sz w:val="28"/>
          <w:szCs w:val="26"/>
          <w:rtl/>
        </w:rPr>
        <w:t xml:space="preserve">בזמן המלחמה, בניית יחסים ושגרה הפכה למשימת הניהול המרכזית. קפלן, כהן, כלפון, יערי וגלעד (2025) עקבו אחר מנהלות שנכנסו לתפקידן עם פרוץ המלחמה ותיארו מסלול של משבר ואובדן שליטה, נקודת מפנה של גילוי כוחות, וגיבוש פרקטיקות: תמיכה בשייכות ובחוסן הצוות, תמיכה רגשית-חברתית בתלמידים ובניית שגרות חדשות התומכות בחזרה ללמידה. פרקטיקות אלה מקבילות כמעט אחת לאחת לעקרונות "היה עקבי" ו"בנה רוגע" שבפרק 4 בספר. זכאי משיח (2026) הראה שגם קליטת תלמידים מפונים תלויה בעיקר באיכות הקשר שבונה הצוות עם התלמיד, עם ילדי הכיתה ועם הוריהם.</w:t>
      </w:r>
    </w:p>
    <w:p>
      <w:pPr>
        <w:pStyle w:val="Heading2"/>
        <w:keepNext/>
        <w:bidi/>
        <w:spacing w:after="120" w:before="200" w:line="360"/>
        <w:jc w:val="right"/>
      </w:pPr>
      <w:r>
        <w:rPr>
          <w:rFonts w:ascii="Times New Roman" w:cs="David" w:eastAsia="Times New Roman" w:hAnsi="Times New Roman"/>
          <w:b/>
          <w:bCs/>
          <w:sz w:val="32"/>
          <w:szCs w:val="36"/>
          <w:rtl/>
        </w:rPr>
        <w:t xml:space="preserve">ויסות עצמי של אנשי החינוך ותשתית ארגונית תומכת</w:t>
      </w:r>
    </w:p>
    <w:p>
      <w:pPr>
        <w:bidi/>
        <w:spacing w:after="120" w:before="0" w:line="360"/>
        <w:jc w:val="both"/>
      </w:pPr>
      <w:r>
        <w:rPr>
          <w:rFonts w:ascii="Times New Roman" w:cs="David" w:eastAsia="Times New Roman" w:hAnsi="Times New Roman"/>
          <w:b w:val="false"/>
          <w:i w:val="false"/>
          <w:iCs w:val="false"/>
          <w:sz w:val="28"/>
          <w:szCs w:val="26"/>
          <w:rtl/>
        </w:rPr>
        <w:t xml:space="preserve">הספר טוען ש"מוח לחוץ אינו יכול ללמד", ומקדיש את פרק 4 לוויסות העצמי של המורה. קטקו-אילי, כהן ומיכאלי (2025), שראיינו 24 מורות ומורים בהקשר של 7 באוקטובר והמלחמה, מצאו שהעיסוק בנושאים טעונים בכיתה מעורר אצל המורים רגשות מקדמים ומעכבים כאחד, והציעו להרחיב את מודל הלמידה החברתית-רגשית (SEL) למודל SPEL, המשלב ידע וחשיבה ביקורתית עם ביטוי רגשי אותנטי. הצעתם משקפת הכרה בכך שוויסות רגשי של המורה בעת משבר אינו רק דיכוי רגש אלא עיבוד מודע שלו.</w:t>
      </w:r>
    </w:p>
    <w:p>
      <w:pPr>
        <w:bidi/>
        <w:spacing w:after="120" w:before="0" w:line="360"/>
        <w:jc w:val="both"/>
      </w:pPr>
      <w:r>
        <w:rPr>
          <w:rFonts w:ascii="Times New Roman" w:cs="David" w:eastAsia="Times New Roman" w:hAnsi="Times New Roman"/>
          <w:b w:val="false"/>
          <w:i w:val="false"/>
          <w:iCs w:val="false"/>
          <w:sz w:val="28"/>
          <w:szCs w:val="26"/>
          <w:rtl/>
        </w:rPr>
        <w:t xml:space="preserve">קלייניקוב, בנאטוב וברגר (Keleynikov et al., 2022) סיפקו עדות מעין-ניסויית לתועלת של הכשרה בוויסות: גננות שהשתתפו בתוכנית קשיבות וחמלה (Call2Care-Israel for Teachers) חצי שנה לפני פרוץ המגפה דיווחו על מצוקה נמוכה יותר, על שימוש רב יותר באסטרטגיות ויסות מסתגלות ועל מעורבות גבוהה יותר בעבודה מאשר עמיתותיהן. ויצמן בן-דוד, הייזמן, חנוכה ושכטר (2026) הראו שגם תשתית ארגונית יכולה לטפח חוסן: מחנכות כיתה, בעיקר מיישובי עוטף עזה, שהשתתפו ב"חממות" של קהילות מקצועיות לומדות מבוססות פדגוגיית חוסן, הציגו עלייה מובהקת ברמת החוסן, ותפיסת תפקידן התפתחה מתפיסה רגשית-חברתית לתפיסה הוליסטית-אקולוגית המדגישה יחסים בין-אישיים, חברתיים וקהילתיים.</w:t>
      </w:r>
    </w:p>
    <w:p>
      <w:pPr>
        <w:bidi/>
        <w:spacing w:after="120" w:before="0" w:line="360"/>
        <w:jc w:val="both"/>
      </w:pPr>
      <w:r>
        <w:rPr>
          <w:rFonts w:ascii="Times New Roman" w:cs="David" w:eastAsia="Times New Roman" w:hAnsi="Times New Roman"/>
          <w:b w:val="false"/>
          <w:i w:val="false"/>
          <w:iCs w:val="false"/>
          <w:sz w:val="28"/>
          <w:szCs w:val="26"/>
          <w:rtl/>
        </w:rPr>
        <w:t xml:space="preserve">תפקיד היועצת החינוכית במערך זה נבחן בשני מחקרים. פינטו וטטר (2023) תיארו כיצד יועצות ניווטו בתקופת הקורונה בין העמימות המובנית של תפקידן לבין עמימות המציאות, כשהן נעות בין תמיכה בצוות לתמיכה בתלמידים. אלון, רובין ורוזנטל (2025) מצאו, במדגם של 181 יועצות ויועצים בזמן המלחמה, שההון הפסיכולוגי (תקווה, מסוגלות, חוסן ואופטימיות), התמיכה החברתית והרווחה הנפשית ניבאו את המסוגלות העצמית התעסוקתית של היועצים. שני המחקרים מצביעים על היועצת כצומת שבו נפגשים ויסות המערכת וויסות הפרט, וממילא כמי שזקוקה בעצמה לתמיכה.</w:t>
      </w:r>
    </w:p>
    <w:p>
      <w:pPr>
        <w:pStyle w:val="Heading2"/>
        <w:keepNext/>
        <w:bidi/>
        <w:spacing w:after="120" w:before="200" w:line="360"/>
        <w:jc w:val="right"/>
      </w:pPr>
      <w:r>
        <w:rPr>
          <w:rFonts w:ascii="Times New Roman" w:cs="David" w:eastAsia="Times New Roman" w:hAnsi="Times New Roman"/>
          <w:b/>
          <w:bCs/>
          <w:sz w:val="32"/>
          <w:szCs w:val="36"/>
          <w:rtl/>
        </w:rPr>
        <w:t xml:space="preserve">טראומה משנית, שחיקה וחמלה עצמית</w:t>
      </w:r>
    </w:p>
    <w:p>
      <w:pPr>
        <w:bidi/>
        <w:spacing w:after="120" w:before="0" w:line="360"/>
        <w:jc w:val="both"/>
      </w:pPr>
      <w:r>
        <w:rPr>
          <w:rFonts w:ascii="Times New Roman" w:cs="David" w:eastAsia="Times New Roman" w:hAnsi="Times New Roman"/>
          <w:b w:val="false"/>
          <w:i w:val="false"/>
          <w:iCs w:val="false"/>
          <w:sz w:val="28"/>
          <w:szCs w:val="26"/>
          <w:rtl/>
        </w:rPr>
        <w:t xml:space="preserve">פרקים 6 ו-7 בספר עוסקים במחיר שמשלמים ה"עוזרים": טראומה משנית, תשישות חמלה ושחיקה, ובדרכים לשמור על "הניצוץ" באמצעות חמלה עצמית וטיפול עצמי. זהו התחום שבו המחקר הישראלי העדכני עשיר במיוחד. אביסר, בן-אמר שכטמן ולוי-קרן (Avissar et al., 2026) סקרו 646 סטודנטים להוראה, מורים בפועל ואנשי סגל במכללה לחינוך ומצאו שכ-30% מהם עמדו בקריטריונים של הפרעת דחק פוסט-טראומטית משוערת וכשליש דיווחו על דיכאון חמור. הם טבעו את "פרדוקס המורה כניצול": מי שאמור להוות עוגן לתלמידים נושא בעצמו את הטראומה. קפלן, זרח ולוי-בלז (Kaplan et al., 2025) הוסיפו ממד של פגיעה מוסרית: חשיפה של מורים לאירועים שפגעו בערכיהם ניבאה דיכאון, חרדה, שחיקה וכוונה לעזוב את ההוראה, כאשר בושה ואשמה תיווכו את הקשר.</w:t>
      </w:r>
    </w:p>
    <w:p>
      <w:pPr>
        <w:bidi/>
        <w:spacing w:after="120" w:before="0" w:line="360"/>
        <w:jc w:val="both"/>
      </w:pPr>
      <w:r>
        <w:rPr>
          <w:rFonts w:ascii="Times New Roman" w:cs="David" w:eastAsia="Times New Roman" w:hAnsi="Times New Roman"/>
          <w:b w:val="false"/>
          <w:i w:val="false"/>
          <w:iCs w:val="false"/>
          <w:sz w:val="28"/>
          <w:szCs w:val="26"/>
          <w:rtl/>
        </w:rPr>
        <w:t xml:space="preserve">לסרי (Lassri, 2023) הציעה מסגרת טרנס-דיאגנוסטית להבנת ההבדלים בין אנשי חינוך. בניתוח פרופילים של 350 אנשי צוות הוראה זוהו פרופיל "סיכון" (55%) ופרופיל "חוסן" (45%), הנבדלים במנטליזציה, בחמלה עצמית, בביקורת עצמית, בהיסטוריית טראומה, בתמיכה חברתית ובהכשרה ייעודית בטראומה; הפרופילים נבדלו גם בתשישות חמלה, בשחיקה ובטראומה משנית. ממצא זה מאשש את המסר של פרק 6 בספר, שחמלה עצמית אינה רכות אלא משאב מגן, ומצביע על הכשרה בטראומה כגורם חוסן שניתן לטפח.</w:t>
      </w:r>
    </w:p>
    <w:p>
      <w:pPr>
        <w:bidi/>
        <w:spacing w:after="120" w:before="0" w:line="360"/>
        <w:jc w:val="both"/>
      </w:pPr>
      <w:r>
        <w:rPr>
          <w:rFonts w:ascii="Times New Roman" w:cs="David" w:eastAsia="Times New Roman" w:hAnsi="Times New Roman"/>
          <w:b w:val="false"/>
          <w:i w:val="false"/>
          <w:iCs w:val="false"/>
          <w:sz w:val="28"/>
          <w:szCs w:val="26"/>
          <w:rtl/>
        </w:rPr>
        <w:t xml:space="preserve">מחקרים מתקופת הקורונה מציעים קו בסיס. שינן-אלטמן ולבקוביץ (Shinan-Altman &amp; Levkovich, 2022) מצאו בקרב 208 מורים בסגר השלישי קשרים מובהקים בין לחץ נתפס לבין חוסן, דיכאון ובדידות, ותחושת שליטה נקשרה לתמיכה חברתית נתפסת. זבידאת, דלאשה וח'ליל (2022) בחנו חוסן אישי בקרב 298 מורים מתחילים ומתמחים מהחברה הערבית ומצאו חוסן גבוה יותר אצל מורים מתחילים לעומת מתמחים וקשר חיובי בין ותק לחוסן, ממצא המדגיש את פגיעותם המיוחדת של הנכנסים למקצוע. אלסייד וליטבק-הירש (2025) הוסיפו מבט על קבוצה ייחודית: מורות ערביות המלמדות בבתי ספר יהודיים לאחר 7 באוקטובר, שחוו תגובות מורכבות מצד סביבתן, ושעבורן תמיכת צוות בית הספר וההנהלה הייתה משאב ההתמודדות המרכזי; אצל חלקן המשבר אף חיזק את תחושת השליחות. שלושת המחקרים תומכים במודל ארבעת מעגלי הטיפול העצמי שבפרק 7 בספר, הפרטי, האישי, החברתי והמקצועי, ומדגישים במיוחד את המעגל המקצועי: תמיכת עמיתים והנהלה.</w:t>
      </w:r>
    </w:p>
    <w:p>
      <w:pPr>
        <w:pStyle w:val="Heading2"/>
        <w:keepNext/>
        <w:bidi/>
        <w:spacing w:after="120" w:before="200" w:line="360"/>
        <w:jc w:val="right"/>
      </w:pPr>
      <w:r>
        <w:rPr>
          <w:rFonts w:ascii="Times New Roman" w:cs="David" w:eastAsia="Times New Roman" w:hAnsi="Times New Roman"/>
          <w:b/>
          <w:bCs/>
          <w:sz w:val="32"/>
          <w:szCs w:val="36"/>
          <w:rtl/>
        </w:rPr>
        <w:t xml:space="preserve">סיכום ופערים במחקר</w:t>
      </w:r>
    </w:p>
    <w:p>
      <w:pPr>
        <w:bidi/>
        <w:spacing w:after="120" w:before="0" w:line="360"/>
        <w:jc w:val="both"/>
      </w:pPr>
      <w:r>
        <w:rPr>
          <w:rFonts w:ascii="Times New Roman" w:cs="David" w:eastAsia="Times New Roman" w:hAnsi="Times New Roman"/>
          <w:b w:val="false"/>
          <w:i w:val="false"/>
          <w:iCs w:val="false"/>
          <w:sz w:val="28"/>
          <w:szCs w:val="26"/>
          <w:rtl/>
        </w:rPr>
        <w:t xml:space="preserve">המחקר הישראלי מהשנים 2021–2026 מאשש את שלושת עמודי התווך של הגישה המודעת לטראומה כפי שהיא מוצגת בספר. ראשית, טראומה בקרב תלמידים היא שכיחה ומגוונת בביטוייה, ותמיכה חברתית ויחסים משמעותיים הם הגורם המגן העקבי ביותר (Refaeli et al., 2025; Olinover &amp; Hamama, 2025; יוקל ורומי, 2024). שנית, רווחתו של המורה היא גורם מגן עבור תלמידיו, ולכן ויסות עצמי, הכשרה וקהילות תומכות הם חלק מהמענה לתלמידים ולא נספח לו (Shur-Kraspin et al., 2025; Keleynikov et al., 2022; ויצמן בן-דוד ואח', 2026). שלישית, אנשי החינוך בישראל נושאים בעצמם עומס טראומטי כבד, וחמלה עצמית, תמיכת עמיתים והכשרה ייעודית מבחינות בין פרופיל חוסן לפרופיל סיכון (Avissar et al., 2026; Kaplan et al., 2025; Lassri, 2023).</w:t>
      </w:r>
    </w:p>
    <w:p>
      <w:pPr>
        <w:bidi/>
        <w:spacing w:after="120" w:before="0" w:line="360"/>
        <w:jc w:val="both"/>
      </w:pPr>
      <w:r>
        <w:rPr>
          <w:rFonts w:ascii="Times New Roman" w:cs="David" w:eastAsia="Times New Roman" w:hAnsi="Times New Roman"/>
          <w:b w:val="false"/>
          <w:i w:val="false"/>
          <w:iCs w:val="false"/>
          <w:sz w:val="28"/>
          <w:szCs w:val="26"/>
          <w:rtl/>
        </w:rPr>
        <w:t xml:space="preserve">לצד זאת נותרו פערים. ראשית, לא אותר מחקר שפיט בעברית הבוחן במישרין יישום של תוכנית "הוראה מודעת טראומה" בבית ספר ישראלי ומודד את השפעתה על תלמידים; המונח מופיע בעיקר במסמכי מדיניות ובתוכניות הכשרה. שנית, מרבית המחקרים הם מחקרי חתך או מחקרים איכותניים, ומעטים המחקרים ההתערבותיים, ובכללם מחקרו של קלייניקוב ועמיתיו. שלישית, קולם של התלמידים עצמם, להבדיל מדיווחי מורים ויועצות, נשמע בעיקר במחקרים הכמותיים באנגלית ומעט מאוד במחקר העברי. רביעית, מרכיבים מסוימים בספר, ובהם עיצוב אוניברסלי ללמידה ודפוס חשיבה מתפתח, כמעט שאינם נחקרים בהקשר של טראומה בישראל. פערים אלה מתווים כיוונים למחקר עתידי: מחקרי התערבות ארוכי טווח, שילוב נקודת מבטם של תלמידים, ובחינה של הכשרת מורים בהוראה מודעת טראומה כמשתנה מתערב.</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רשימת מקורות</w:t>
      </w:r>
    </w:p>
    <w:p>
      <w:pPr>
        <w:pStyle w:val="Heading2"/>
        <w:keepNext/>
        <w:bidi/>
        <w:spacing w:after="120" w:before="200" w:line="360"/>
        <w:jc w:val="right"/>
      </w:pPr>
      <w:r>
        <w:rPr>
          <w:rFonts w:ascii="Times New Roman" w:cs="David" w:eastAsia="Times New Roman" w:hAnsi="Times New Roman"/>
          <w:b/>
          <w:bCs/>
          <w:sz w:val="32"/>
          <w:szCs w:val="36"/>
          <w:rtl/>
        </w:rPr>
        <w:t xml:space="preserve">מקורות בעברית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הייעוץ החינוכי, כו. https://www.shaanan.ac.il/wp-content/uploads/2025/02/Alon-Rubin-Rosenthal.pdf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דפים, 82. https://dapim.mofet.macam.ac.il/issue/דפים-82/</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בן-אשר, ס', שלו, ר' ובן-עטר, א' (2025). תפקידה של מערכת החינוך בתיווך המציאות לתלמידים במצבי איום ביטחוני ומלחמה. הייעוץ החינוכי, כו. https://www.shaanan.ac.il/wp-content/uploads/2025/02/Ben-Asher-Shalev-Ben-Atar.pdf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ויצמן בן-דוד, ה', הייזמן, א', חנוכה, מ' ושכטר, ח' (2026). אקוסיסטם של חוסן: קהילות מקצועיות לומדות כמעצבות תפיסת תפקיד וחוסן של מחנכות כיתה בזמן מלחמה. עיונים במינהל ובארגון החינוך, 40, 293–325. https://kaye.ac.il/wp-content/uploads/2025/12/1.pdf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זבידאת, א', דלאשה, ו' וח'ליל, ע' (2022). גורמים דמוגרפיים, רגשיים-חברתיים וחינוכיים: חוסן אישי בקרב מורים מתחילים ומתמחים בהוראה מהחברה הערבית בישראל. דפים, 76. https://dapim.mofet.macam.ac.il/issue/דפים-76/</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זכאי משיח, מ' (2026). "הוא לא פה ולא שם": חוויית שילובם של תלמידים מפונים בזמן מלחמת חרבות ברזל מנקודת מבטו של הצוות החינוכי. חמדעת: כתב עת רב-תחומי, יט. https://www.hemdat.ac.il/wp-content/uploads/2025/09/שילוב-תלמידים-מפונים-1.pdf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 https://kitvei-et.efshar.org.il/wp-content/uploads/05-Mifgash-57-יחסים-בין-מורים-ותלמידים-במצבי-סיכון.pdf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ואמיתי, ק' (2023). "לכאוב כדי לחיות": חוויות של יועצים חינוכיים עם מתבגרים שהתנסו בפגיעה עצמית. הייעוץ החינוכי, כד. https://www.shaanan.ac.il/wp-content/uploads/2023/02/levkovitzamitai.pdf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 https://www.dyellin.ac.il/node/12035</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 https://www.shaanan.ac.il/wp-content/uploads/2023/02/fintotatar.pdf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קטקו-אילי, ק', כהן, א' ומיכאלי, נ' (2025). מ-SEL ל-SPEL: הוראה מודעת רגש פוליטי בזמן משבר. דפים, 82. https://dapim.mofet.macam.ac.il/wp-content/uploads/2025/05/מ-SEL-ל-SPEL.pdf</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קפלן, ח', כהן, ה', כלפון, ע', יערי, ג' וגלעד, ל' (2025). "לייצר משהו חדש בזמן שאת בעצמך חדשה": מנהלות חדשות בתקופת מלחמה. דפים, 82. https://dapim.mofet.macam.ac.il/wp-content/uploads/2025/08/דפים-82-גרסה-סופית.pdf</w:t>
      </w:r>
    </w:p>
    <w:p>
      <w:pPr>
        <w:pStyle w:val="Heading2"/>
        <w:keepNext/>
        <w:bidi/>
        <w:spacing w:after="120" w:before="200" w:line="360"/>
        <w:jc w:val="right"/>
      </w:pPr>
      <w:r>
        <w:rPr>
          <w:rFonts w:ascii="Times New Roman" w:cs="David" w:eastAsia="Times New Roman" w:hAnsi="Times New Roman"/>
          <w:b/>
          <w:bCs/>
          <w:sz w:val="32"/>
          <w:szCs w:val="36"/>
          <w:rtl/>
        </w:rPr>
        <w:t xml:space="preserve">מקורות באנגלית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Avissar, N., Ben-Amar Shechtman, D., &amp; Levi-Keren, M. (2026). Teaching through trauma: Israeli teacher education in crisis. Frontiers in Education, 11, 1879346. https://doi.org/10.3389/feduc.2026.1879346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Kaim, A., Lev-Ari, S., &amp; Adini, B. (2023). Distress following the COVID-19 pandemic among schools' stakeholders: Psychosocial aspects and communication. International Journal of Environmental Research and Public Health, 20(6), 4837. https://doi.org/10.3390/ijerph20064837</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Lane, J., Chow, R., Hambrick, E., &amp; Earl, R. (2025). Becoming trauma responsive. New Prairie Press. https://newprairiepress.org/ebooks/56/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Olinover, M., &amp; Hamama, L. (2025). Adolescents during wartime: Vulnerability-based profiles. Journal of Research on Adolescence, 35, e70041. https://doi.org/10.1111/jora.70041</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Refaeli, T., Sold, A., &amp; Aharonson-Daniel, L. (2025). Post-traumatic stress among adolescents following the October 7th attack in Israel: Implications for mental health policy and planning. Israel Journal of Health Policy Research, 14, 76. https://doi.org/10.1186/s13584-025-00740-1</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סקירת ספרות: הוראה מודעת טראומה בישראל, 2021–2026</dc:title>
  <dc:creator>Student</dc:creator>
  <cp:lastModifiedBy>Un-named</cp:lastModifiedBy>
  <cp:revision>1</cp:revision>
  <dcterms:created xsi:type="dcterms:W3CDTF">2026-09-12T19:26:24.503Z</dcterms:created>
  <dcterms:modified xsi:type="dcterms:W3CDTF">2026-09-12T19:26:24.519Z</dcterms:modified>
</cp:coreProperties>
</file>

<file path=docProps/custom.xml><?xml version="1.0" encoding="utf-8"?>
<Properties xmlns="http://schemas.openxmlformats.org/officeDocument/2006/custom-properties" xmlns:vt="http://schemas.openxmlformats.org/officeDocument/2006/docPropsVTypes"/>
</file>