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מבחני החברות והתקנון מתקיימים: החברים הם עובדים שהצטרפו מרצונם, ולקבוצה תקנון. הקושי בשני המבחנים האחרים, שנבחנים לפי המהות ולא לפי הכותרות.</w:t>
      </w:r>
    </w:p>
    <w:p>
      <w:pPr>
        <w:bidi/>
        <w:spacing w:before="0" w:after="0"/>
        <w:jc w:val="both"/>
      </w:pP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בלבד, ומטרה ד' משקפת התנגדות עקרונית לייצוג 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ובמקביל פעל נגד ההסתדרות. גוף שהמעסיק תומך בו כך אינו "קול נגדי" לו.</w:t>
      </w:r>
    </w:p>
    <w:p>
      <w:pPr>
        <w:bidi/>
        <w:spacing w:before="0" w:after="0"/>
        <w:jc w:val="both"/>
      </w:pPr>
      <w:r>
        <w:rPr>
          <w:b/>
          <w:sz w:val="24"/>
          <w:rtl/>
          <w:szCs w:val="24"/>
          <w:bCs/>
        </w:rPr>
        <w:t>עניין נוקיה.</w:t>
      </w:r>
      <w:r>
        <w:rPr>
          <w:vertAlign w:val="superscript"/>
        </w:rPr>
        <w:footnoteReference w:id="4"/>
      </w:r>
      <w:r>
        <w:rPr>
          <w:sz w:val="24"/>
          <w:rtl/>
          <w:szCs w:val="24"/>
        </w:rPr>
        <w:t xml:space="preserve"> בית הדין הארצי יישם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5"/>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ההלכה אושרה בבג"ץ, ולפי הספרות היא כמעט איינה את יכולת המעסיק להתערב בהתארגנות הראשונית.</w:t>
      </w:r>
      <w:r>
        <w:rPr>
          <w:vertAlign w:val="superscript"/>
        </w:rPr>
        <w:footnoteReference w:id="6"/>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עומדת במבחן המטרה ובמבחן הקול הנגדי, כפי שנפסק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7"/>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8"/>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9"/>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0"/>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1"/>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2"/>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3"/>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4"/>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5"/>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6"/>
      </w:r>
      <w:r>
        <w:rPr>
          <w:sz w:val="24"/>
          <w:rtl/>
          <w:szCs w:val="24"/>
        </w:rPr>
        <w:t xml:space="preserve"> עם זאת, העברה מתפקיד לתפקיד נחשבת בדרך כלל לחלק מהפררוגטיבה, בכפוף לחובת תום הלב.</w:t>
      </w:r>
      <w:r>
        <w:rPr>
          <w:vertAlign w:val="superscript"/>
        </w:rPr>
        <w:footnoteReference w:id="17"/>
      </w:r>
      <w:r>
        <w:rPr>
          <w:sz w:val="24"/>
          <w:rtl/>
          <w:szCs w:val="24"/>
        </w:rPr>
        <w:t xml:space="preserve"> העברתו של אורי פגעה במעמדו אף ששכרו לא השתנה, ותזמונה, סמוך לסיום השיחות, מעורר ספק אם נעשתה בתום לב. שינוי ב"תיאור עיקרי התפקיד" מחייב הודעה בכתב בתוך 30 יום, ובהיעדרה הנטל עובר למעסיק.</w:t>
      </w:r>
      <w:r>
        <w:rPr>
          <w:vertAlign w:val="superscript"/>
        </w:rPr>
        <w:footnoteReference w:id="18"/>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19"/>
      </w:r>
      <w:r>
        <w:rPr>
          <w:sz w:val="24"/>
          <w:rtl/>
          <w:szCs w:val="24"/>
        </w:rPr>
        <w:t xml:space="preserve"> הזכאות עצמה מותנית בשנת עבודה אחת ברציפות אצל אותו מעסיק,</w:t>
      </w:r>
      <w:r>
        <w:rPr>
          <w:vertAlign w:val="superscript"/>
        </w:rPr>
        <w:footnoteReference w:id="20"/>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עניין גולן</w:t>
      </w:r>
      <w:r>
        <w:rPr>
          <w:vertAlign w:val="superscript"/>
        </w:rPr>
        <w:footnoteReference w:id="21"/>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התריע על כוונתו להתפטר ועבד ארבעה חודשים במתכונת החדשה. השתיקה מלמדת על השלמה, גם אם התקופה קצרה מזו שבעניין גולן.</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כי קשה להראות התייחסויות חוזרות למיניותו של אורי. טענת ההתנכלות חזקה יותר. טענת ההתפטרות בדין מפוטר נכשלת בשל היעדר התראה והשיהוי (הלכת גולן).</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