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120" w:line="360"/>
        <w:jc w:val="center"/>
      </w:pPr>
      <w:r>
        <w:rPr>
          <w:rFonts w:ascii="Arial" w:cs="Arial" w:eastAsia="Arial" w:hAnsi="Arial"/>
          <w:b/>
          <w:bCs/>
          <w:color w:val="1F3864"/>
          <w:sz w:val="36"/>
          <w:szCs w:val="36"/>
          <w:rtl/>
        </w:rPr>
        <w:t xml:space="preserve">הקריה האקדמית אונו</w:t>
      </w:r>
    </w:p>
    <w:p>
      <w:pPr>
        <w:bidi/>
        <w:spacing w:after="120" w:line="360"/>
        <w:jc w:val="center"/>
      </w:pPr>
      <w:r>
        <w:rPr>
          <w:rFonts w:ascii="Arial" w:cs="Arial" w:eastAsia="Arial" w:hAnsi="Arial"/>
          <w:color w:val="595959"/>
          <w:sz w:val="24"/>
          <w:szCs w:val="24"/>
          <w:rtl/>
        </w:rPr>
        <w:t xml:space="preserve">Ono Academic College</w:t>
      </w:r>
    </w:p>
    <w:p>
      <w:pPr>
        <w:bidi/>
        <w:spacing w:after="120" w:line="360"/>
        <w:jc w:val="center"/>
      </w:pPr>
      <w:r>
        <w:rPr>
          <w:rFonts w:ascii="Arial" w:cs="Arial" w:eastAsia="Arial" w:hAnsi="Arial"/>
          <w:sz w:val="26"/>
          <w:szCs w:val="26"/>
          <w:rtl/>
        </w:rPr>
        <w:t xml:space="preserve">הפקולטה למנהל עסקים B.A</w:t>
      </w:r>
    </w:p>
    <w:p>
      <w:pPr>
        <w:spacing w:after="600"/>
      </w:pPr>
    </w:p>
    <w:p>
      <w:pPr>
        <w:bidi/>
        <w:spacing w:after="120" w:line="360"/>
        <w:jc w:val="center"/>
      </w:pPr>
      <w:r>
        <w:rPr>
          <w:rFonts w:ascii="Arial" w:cs="Arial" w:eastAsia="Arial" w:hAnsi="Arial"/>
          <w:b/>
          <w:bCs/>
          <w:sz w:val="28"/>
          <w:szCs w:val="28"/>
          <w:rtl/>
        </w:rPr>
        <w:t xml:space="preserve">עבודה מסכמת בקורס: ניהול קריירה בארגונים</w:t>
      </w:r>
    </w:p>
    <w:p>
      <w:pPr>
        <w:bidi/>
        <w:spacing w:after="120" w:line="360"/>
        <w:jc w:val="center"/>
      </w:pPr>
      <w:r>
        <w:rPr>
          <w:rFonts w:ascii="Arial" w:cs="Arial" w:eastAsia="Arial" w:hAnsi="Arial"/>
          <w:sz w:val="24"/>
          <w:szCs w:val="24"/>
          <w:rtl/>
        </w:rPr>
        <w:t xml:space="preserve">שנת הלימודים תשפ"ו, סמסטר 3</w:t>
      </w:r>
    </w:p>
    <w:p>
      <w:pPr>
        <w:spacing w:after="700"/>
      </w:pPr>
    </w:p>
    <w:p>
      <w:pPr>
        <w:bidi/>
        <w:spacing w:after="80" w:line="360"/>
        <w:jc w:val="center"/>
      </w:pPr>
      <w:r>
        <w:rPr>
          <w:rFonts w:ascii="Arial" w:cs="Arial" w:eastAsia="Arial" w:hAnsi="Arial"/>
          <w:b/>
          <w:bCs/>
          <w:color w:val="0E6E73"/>
          <w:sz w:val="44"/>
          <w:szCs w:val="44"/>
          <w:rtl/>
        </w:rPr>
        <w:t xml:space="preserve">התמודדות עם חוסר ודאות תעסוקתי</w:t>
      </w:r>
    </w:p>
    <w:p>
      <w:pPr>
        <w:bidi/>
        <w:spacing w:after="40" w:line="360"/>
        <w:jc w:val="center"/>
      </w:pPr>
      <w:r>
        <w:rPr>
          <w:rFonts w:ascii="Arial" w:cs="Arial" w:eastAsia="Arial" w:hAnsi="Arial"/>
          <w:sz w:val="26"/>
          <w:szCs w:val="26"/>
          <w:rtl/>
        </w:rPr>
        <w:t xml:space="preserve">ניתוח ויישום של המאמר</w:t>
      </w:r>
    </w:p>
    <w:p>
      <w:pPr>
        <w:spacing w:after="60"/>
        <w:jc w:val="center"/>
      </w:pPr>
      <w:r>
        <w:rPr>
          <w:rFonts w:ascii="Arial" w:cs="Arial" w:eastAsia="Arial" w:hAnsi="Arial"/>
          <w:i/>
          <w:iCs/>
          <w:color w:val="404040"/>
          <w:sz w:val="22"/>
          <w:szCs w:val="22"/>
        </w:rPr>
        <w:t xml:space="preserve">Shoss, M. K. (2017). Job insecurity: An integrative review and agenda for future research. Journal of Management, 43(6), 1911–1939.</w:t>
      </w:r>
    </w:p>
    <w:p>
      <w:pPr>
        <w:bidi/>
        <w:spacing w:after="40" w:line="360"/>
        <w:jc w:val="center"/>
      </w:pPr>
      <w:r>
        <w:rPr>
          <w:rFonts w:ascii="Arial" w:cs="Arial" w:eastAsia="Arial" w:hAnsi="Arial"/>
          <w:color w:val="404040"/>
          <w:sz w:val="22"/>
          <w:szCs w:val="22"/>
          <w:rtl/>
        </w:rPr>
        <w:t xml:space="preserve">בצירוף מאמר משלים:</w:t>
      </w:r>
    </w:p>
    <w:p>
      <w:pPr>
        <w:spacing w:after="120"/>
        <w:jc w:val="center"/>
      </w:pPr>
      <w:r>
        <w:rPr>
          <w:rFonts w:ascii="Arial" w:cs="Arial" w:eastAsia="Arial" w:hAnsi="Arial"/>
          <w:i/>
          <w:iCs/>
          <w:color w:val="404040"/>
          <w:sz w:val="22"/>
          <w:szCs w:val="22"/>
        </w:rPr>
        <w:t xml:space="preserve">Lee, C., Huang, G.-H., &amp; Ashford, S. J. (2018). Job insecurity and the changing workplace. Annual Review of Organizational Psychology and Organizational Behavior, 5, 335–359.</w:t>
      </w:r>
    </w:p>
    <w:p>
      <w:pPr>
        <w:spacing w:after="7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center"/>
            </w:pPr>
            <w:r>
              <w:rPr>
                <w:rFonts w:ascii="Arial" w:cs="Arial" w:eastAsia="Arial" w:hAnsi="Arial"/>
                <w:b/>
                <w:bCs/>
                <w:color w:val="1F3864"/>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center"/>
            </w:pPr>
            <w:r>
              <w:rPr>
                <w:rFonts w:ascii="Arial" w:cs="Arial" w:eastAsia="Arial" w:hAnsi="Arial"/>
                <w:b/>
                <w:bCs/>
                <w:color w:val="1F3864"/>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[שם מלא – חבר/ת קבוצה 1]</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[שם מלא – חבר/ת קבוצה 2]</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[שם מלא – חבר/ת קבוצה 3 (אם רלוונטי)]</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center"/>
            </w:pPr>
            <w:r>
              <w:rPr>
                <w:rFonts w:ascii="Arial" w:cs="Arial" w:eastAsia="Arial" w:hAnsi="Arial"/>
                <w:sz w:val="22"/>
                <w:szCs w:val="22"/>
                <w:rtl/>
              </w:rPr>
              <w:t xml:space="preserve">[ת.ז.]</w:t>
            </w:r>
          </w:p>
        </w:tc>
      </w:tr>
    </w:tbl>
    <w:p>
      <w:pPr>
        <w:spacing w:after="600"/>
      </w:pPr>
    </w:p>
    <w:p>
      <w:pPr>
        <w:bidi/>
        <w:spacing w:after="120" w:line="360"/>
        <w:jc w:val="center"/>
      </w:pPr>
      <w:r>
        <w:rPr>
          <w:rFonts w:ascii="Arial" w:cs="Arial" w:eastAsia="Arial" w:hAnsi="Arial"/>
          <w:sz w:val="24"/>
          <w:szCs w:val="24"/>
          <w:rtl/>
        </w:rPr>
        <w:t xml:space="preserve">מרצה: גב' מורן דבדבני דקל</w:t>
      </w:r>
    </w:p>
    <w:p>
      <w:pPr>
        <w:bidi/>
        <w:spacing w:after="120" w:line="360"/>
        <w:jc w:val="center"/>
      </w:pPr>
      <w:r>
        <w:rPr>
          <w:rFonts w:ascii="Arial" w:cs="Arial" w:eastAsia="Arial" w:hAnsi="Arial"/>
          <w:sz w:val="24"/>
          <w:szCs w:val="24"/>
          <w:rtl/>
        </w:rPr>
        <w:t xml:space="preserve">עוזר הוראה: מר פאר רועי</w:t>
      </w:r>
    </w:p>
    <w:p>
      <w:pPr>
        <w:spacing w:after="300"/>
      </w:pPr>
    </w:p>
    <w:p>
      <w:pPr>
        <w:bidi/>
        <w:spacing w:after="120" w:line="360"/>
        <w:jc w:val="center"/>
      </w:pPr>
      <w:r>
        <w:rPr>
          <w:rFonts w:ascii="Arial" w:cs="Arial" w:eastAsia="Arial" w:hAnsi="Arial"/>
          <w:sz w:val="24"/>
          <w:szCs w:val="24"/>
          <w:rtl/>
        </w:rPr>
        <w:t xml:space="preserve">תאריך הגשה: 21.09.2026</w:t>
      </w:r>
    </w:p>
    <w:p>
      <w:r>
        <w:br w:type="page"/>
      </w:r>
    </w:p>
    <w:p>
      <w:pPr>
        <w:pStyle w:val="Heading1"/>
        <w:bidi/>
        <w:spacing w:after="200" w:before="360"/>
        <w:jc w:val="right"/>
      </w:pPr>
      <w:r>
        <w:rPr>
          <w:rFonts w:ascii="Arial" w:cs="Arial" w:eastAsia="Arial" w:hAnsi="Arial"/>
          <w:b/>
          <w:bCs/>
          <w:color w:val="1F3864"/>
          <w:sz w:val="32"/>
          <w:szCs w:val="32"/>
          <w:rtl/>
        </w:rPr>
        <w:t xml:space="preserve">תוכן העניינים</w:t>
      </w:r>
    </w:p>
    <w:p>
      <w:pPr>
        <w:pStyle w:val="ListParagraph"/>
        <w:numPr>
          <w:ilvl w:val="0"/>
          <w:numId w:val="2"/>
        </w:numPr>
        <w:bidi/>
        <w:spacing w:after="80" w:line="360"/>
        <w:jc w:val="both"/>
      </w:pPr>
      <w:r>
        <w:rPr>
          <w:rFonts w:ascii="Arial" w:cs="Arial" w:eastAsia="Arial" w:hAnsi="Arial"/>
          <w:sz w:val="24"/>
          <w:szCs w:val="24"/>
          <w:rtl/>
        </w:rPr>
        <w:t xml:space="preserve">מבוא</w:t>
      </w:r>
    </w:p>
    <w:p>
      <w:pPr>
        <w:pStyle w:val="ListParagraph"/>
        <w:numPr>
          <w:ilvl w:val="0"/>
          <w:numId w:val="2"/>
        </w:numPr>
        <w:bidi/>
        <w:spacing w:after="80" w:line="360"/>
        <w:jc w:val="both"/>
      </w:pPr>
      <w:r>
        <w:rPr>
          <w:rFonts w:ascii="Arial" w:cs="Arial" w:eastAsia="Arial" w:hAnsi="Arial"/>
          <w:sz w:val="24"/>
          <w:szCs w:val="24"/>
          <w:rtl/>
        </w:rPr>
        <w:t xml:space="preserve">פרק 1: הצגת המאמר המרכזי</w:t>
      </w:r>
    </w:p>
    <w:p>
      <w:pPr>
        <w:pStyle w:val="ListParagraph"/>
        <w:numPr>
          <w:ilvl w:val="0"/>
          <w:numId w:val="2"/>
        </w:numPr>
        <w:bidi/>
        <w:spacing w:after="80" w:line="360"/>
        <w:jc w:val="both"/>
      </w:pPr>
      <w:r>
        <w:rPr>
          <w:rFonts w:ascii="Arial" w:cs="Arial" w:eastAsia="Arial" w:hAnsi="Arial"/>
          <w:sz w:val="24"/>
          <w:szCs w:val="24"/>
          <w:rtl/>
        </w:rPr>
        <w:t xml:space="preserve">פרק 2: תמצית המאמר והנקודות המרכזיות</w:t>
      </w:r>
    </w:p>
    <w:p>
      <w:pPr>
        <w:pStyle w:val="ListParagraph"/>
        <w:numPr>
          <w:ilvl w:val="0"/>
          <w:numId w:val="2"/>
        </w:numPr>
        <w:bidi/>
        <w:spacing w:after="80" w:line="360"/>
        <w:jc w:val="both"/>
      </w:pPr>
      <w:r>
        <w:rPr>
          <w:rFonts w:ascii="Arial" w:cs="Arial" w:eastAsia="Arial" w:hAnsi="Arial"/>
          <w:sz w:val="24"/>
          <w:szCs w:val="24"/>
          <w:rtl/>
        </w:rPr>
        <w:t xml:space="preserve">פרק 3: ניתוח המאמר לפי מבנה, שיטה וממצאים</w:t>
      </w:r>
    </w:p>
    <w:p>
      <w:pPr>
        <w:pStyle w:val="ListParagraph"/>
        <w:numPr>
          <w:ilvl w:val="0"/>
          <w:numId w:val="2"/>
        </w:numPr>
        <w:bidi/>
        <w:spacing w:after="80" w:line="360"/>
        <w:jc w:val="both"/>
      </w:pPr>
      <w:r>
        <w:rPr>
          <w:rFonts w:ascii="Arial" w:cs="Arial" w:eastAsia="Arial" w:hAnsi="Arial"/>
          <w:sz w:val="24"/>
          <w:szCs w:val="24"/>
          <w:rtl/>
        </w:rPr>
        <w:t xml:space="preserve">פרק 4: המאמר המשלים וראיות תומכות</w:t>
      </w:r>
    </w:p>
    <w:p>
      <w:pPr>
        <w:pStyle w:val="ListParagraph"/>
        <w:numPr>
          <w:ilvl w:val="0"/>
          <w:numId w:val="2"/>
        </w:numPr>
        <w:bidi/>
        <w:spacing w:after="80" w:line="360"/>
        <w:jc w:val="both"/>
      </w:pPr>
      <w:r>
        <w:rPr>
          <w:rFonts w:ascii="Arial" w:cs="Arial" w:eastAsia="Arial" w:hAnsi="Arial"/>
          <w:sz w:val="24"/>
          <w:szCs w:val="24"/>
          <w:rtl/>
        </w:rPr>
        <w:t xml:space="preserve">פרק 5: תובנות, מסקנות ודעה אישית</w:t>
      </w:r>
    </w:p>
    <w:p>
      <w:pPr>
        <w:pStyle w:val="ListParagraph"/>
        <w:numPr>
          <w:ilvl w:val="0"/>
          <w:numId w:val="2"/>
        </w:numPr>
        <w:bidi/>
        <w:spacing w:after="80" w:line="360"/>
        <w:jc w:val="both"/>
      </w:pPr>
      <w:r>
        <w:rPr>
          <w:rFonts w:ascii="Arial" w:cs="Arial" w:eastAsia="Arial" w:hAnsi="Arial"/>
          <w:sz w:val="24"/>
          <w:szCs w:val="24"/>
          <w:rtl/>
        </w:rPr>
        <w:t xml:space="preserve">פרק 6: יישום מעשי בניהול קריירה</w:t>
      </w:r>
    </w:p>
    <w:p>
      <w:pPr>
        <w:pStyle w:val="ListParagraph"/>
        <w:numPr>
          <w:ilvl w:val="0"/>
          <w:numId w:val="2"/>
        </w:numPr>
        <w:bidi/>
        <w:spacing w:after="80" w:line="360"/>
        <w:jc w:val="both"/>
      </w:pPr>
      <w:r>
        <w:rPr>
          <w:rFonts w:ascii="Arial" w:cs="Arial" w:eastAsia="Arial" w:hAnsi="Arial"/>
          <w:sz w:val="24"/>
          <w:szCs w:val="24"/>
          <w:rtl/>
        </w:rPr>
        <w:t xml:space="preserve">סיכום</w:t>
      </w:r>
    </w:p>
    <w:p>
      <w:pPr>
        <w:pStyle w:val="ListParagraph"/>
        <w:numPr>
          <w:ilvl w:val="0"/>
          <w:numId w:val="2"/>
        </w:numPr>
        <w:bidi/>
        <w:spacing w:after="80" w:line="360"/>
        <w:jc w:val="both"/>
      </w:pPr>
      <w:r>
        <w:rPr>
          <w:rFonts w:ascii="Arial" w:cs="Arial" w:eastAsia="Arial" w:hAnsi="Arial"/>
          <w:sz w:val="24"/>
          <w:szCs w:val="24"/>
          <w:rtl/>
        </w:rPr>
        <w:t xml:space="preserve">נספח א: תכנון המצגת והאמצעים להמחשה</w:t>
      </w:r>
    </w:p>
    <w:p>
      <w:pPr>
        <w:pStyle w:val="ListParagraph"/>
        <w:numPr>
          <w:ilvl w:val="0"/>
          <w:numId w:val="2"/>
        </w:numPr>
        <w:bidi/>
        <w:spacing w:after="80" w:line="360"/>
        <w:jc w:val="both"/>
      </w:pPr>
      <w:r>
        <w:rPr>
          <w:rFonts w:ascii="Arial" w:cs="Arial" w:eastAsia="Arial" w:hAnsi="Arial"/>
          <w:sz w:val="24"/>
          <w:szCs w:val="24"/>
          <w:rtl/>
        </w:rPr>
        <w:t xml:space="preserve">נספח ב: שאלון קצר להערכה עצמית</w:t>
      </w:r>
    </w:p>
    <w:p>
      <w:pPr>
        <w:pStyle w:val="ListParagraph"/>
        <w:numPr>
          <w:ilvl w:val="0"/>
          <w:numId w:val="2"/>
        </w:numPr>
        <w:bidi/>
        <w:spacing w:after="80" w:line="360"/>
        <w:jc w:val="both"/>
      </w:pPr>
      <w:r>
        <w:rPr>
          <w:rFonts w:ascii="Arial" w:cs="Arial" w:eastAsia="Arial" w:hAnsi="Arial"/>
          <w:sz w:val="24"/>
          <w:szCs w:val="24"/>
          <w:rtl/>
        </w:rPr>
        <w:t xml:space="preserve">רשימת מקורות</w:t>
      </w:r>
    </w:p>
    <w:p>
      <w:r>
        <w:br w:type="page"/>
      </w:r>
    </w:p>
    <w:p>
      <w:pPr>
        <w:pStyle w:val="Heading1"/>
        <w:bidi/>
        <w:spacing w:after="200" w:before="360"/>
        <w:jc w:val="right"/>
      </w:pPr>
      <w:r>
        <w:rPr>
          <w:rFonts w:ascii="Arial" w:cs="Arial" w:eastAsia="Arial" w:hAnsi="Arial"/>
          <w:b/>
          <w:bCs/>
          <w:color w:val="1F3864"/>
          <w:sz w:val="32"/>
          <w:szCs w:val="32"/>
          <w:rtl/>
        </w:rPr>
        <w:t xml:space="preserve">מבוא</w:t>
      </w:r>
    </w:p>
    <w:p>
      <w:pPr>
        <w:bidi/>
        <w:spacing w:after="120" w:before="0" w:line="360"/>
        <w:jc w:val="both"/>
      </w:pPr>
      <w:r>
        <w:rPr>
          <w:rFonts w:ascii="Arial" w:cs="Arial" w:eastAsia="Arial" w:hAnsi="Arial"/>
          <w:sz w:val="24"/>
          <w:szCs w:val="24"/>
          <w:rtl/>
        </w:rPr>
        <w:t xml:space="preserve">בשנים האחרונות הפך </w:t>
      </w:r>
      <w:r>
        <w:rPr>
          <w:rFonts w:ascii="Arial" w:cs="Arial" w:eastAsia="Arial" w:hAnsi="Arial"/>
          <w:b/>
          <w:bCs/>
          <w:sz w:val="24"/>
          <w:szCs w:val="24"/>
          <w:rtl/>
        </w:rPr>
        <w:t xml:space="preserve">חוסר הביטחון התעסוקתי</w:t>
      </w:r>
      <w:r>
        <w:rPr>
          <w:rFonts w:ascii="Arial" w:cs="Arial" w:eastAsia="Arial" w:hAnsi="Arial"/>
          <w:sz w:val="24"/>
          <w:szCs w:val="24"/>
          <w:rtl/>
        </w:rPr>
        <w:t xml:space="preserve"> (</w:t>
      </w:r>
      <w:r>
        <w:rPr>
          <w:rFonts w:ascii="Arial" w:cs="Arial" w:eastAsia="Arial" w:hAnsi="Arial"/>
          <w:sz w:val="24"/>
          <w:szCs w:val="24"/>
        </w:rPr>
        <w:t xml:space="preserve">‎Job Insecurity‎</w:t>
      </w:r>
      <w:r>
        <w:rPr>
          <w:rFonts w:ascii="Arial" w:cs="Arial" w:eastAsia="Arial" w:hAnsi="Arial"/>
          <w:sz w:val="24"/>
          <w:szCs w:val="24"/>
          <w:rtl/>
        </w:rPr>
        <w:t xml:space="preserve">) לאחת התופעות המרכזיות בעולם העבודה. גלי הפיטורים וההתייעלות בענף ההייטק, כניסתה המואצת של הבינה המלאכותית היוצרת לתפקידי "צווארון לבן", המלחמה ושירות המילואים הממושך, לצד המעבר לצורות העסקה גמישות (פרילנס, חוזים זמניים ועבודה דרך פלטפורמות), יצרו מציאות שבה גם עובדים בעלי ותק ומיומנויות גבוהות חשים כי המשך העסקתם אינו מובן מאליו. תיבה בדוח בנק ישראל לשנת 2024 העריכה כי כחמישית מהמועסקים בישראל עובדים במקצועות "תחליפיים", שבהם הביקוש לעובדים צפוי לרדת באופן משמעותי עם התרחבות השימוש בבינה מלאכותית (בנק ישראל, 2025).</w:t>
      </w:r>
    </w:p>
    <w:p>
      <w:pPr>
        <w:bidi/>
        <w:spacing w:after="120" w:before="0" w:line="360"/>
        <w:jc w:val="both"/>
      </w:pPr>
      <w:r>
        <w:rPr>
          <w:rFonts w:ascii="Arial" w:cs="Arial" w:eastAsia="Arial" w:hAnsi="Arial"/>
          <w:sz w:val="24"/>
          <w:szCs w:val="24"/>
          <w:rtl/>
        </w:rPr>
        <w:t xml:space="preserve">מציאות זו מעלה שאלה מרכזית עבור קורס בניהול קריירה: כיצד מנהלים קריירה באופן מושכל כאשר אי-הוודאות הופכת לתנאי קבוע ולא לאירוע חריג? בחרנו בנושא "התמודדות עם חוסר ודאות תעסוקתי" משום שהוא נוגע ישירות לנו, סטודנטים העומדים בפני כניסה לשוק העבודה או הנמצאים בתחילת דרכם המקצועית, ומשום שהוא מתכתב עם נושאים מרכזיים שנלמדו בקורס: עוגני קריירה, מסע הקריירה במאה ה-21, שלושת "סלי הכלים" לניהול קריירה (רשת אנשים, זהות מקצועית והתפתחות) וההסתכלות על משבר כעל הזדמנות.</w:t>
      </w:r>
    </w:p>
    <w:p>
      <w:pPr>
        <w:bidi/>
        <w:spacing w:after="120" w:before="0" w:line="360"/>
        <w:jc w:val="both"/>
      </w:pPr>
      <w:r>
        <w:rPr>
          <w:rFonts w:ascii="Arial" w:cs="Arial" w:eastAsia="Arial" w:hAnsi="Arial"/>
          <w:sz w:val="24"/>
          <w:szCs w:val="24"/>
          <w:rtl/>
        </w:rPr>
        <w:t xml:space="preserve">כמאמר מרכזי בחרנו את הסקירה האינטגרטיבית של </w:t>
      </w:r>
      <w:r>
        <w:rPr>
          <w:rFonts w:ascii="Arial" w:cs="Arial" w:eastAsia="Arial" w:hAnsi="Arial"/>
          <w:sz w:val="24"/>
          <w:szCs w:val="24"/>
        </w:rPr>
        <w:t xml:space="preserve">‎Shoss (2017)‎</w:t>
      </w:r>
      <w:r>
        <w:rPr>
          <w:rFonts w:ascii="Arial" w:cs="Arial" w:eastAsia="Arial" w:hAnsi="Arial"/>
          <w:sz w:val="24"/>
          <w:szCs w:val="24"/>
          <w:rtl/>
        </w:rPr>
        <w:t xml:space="preserve">, שפורסמה בכתב העת </w:t>
      </w:r>
      <w:r>
        <w:rPr>
          <w:rFonts w:ascii="Arial" w:cs="Arial" w:eastAsia="Arial" w:hAnsi="Arial"/>
          <w:sz w:val="24"/>
          <w:szCs w:val="24"/>
        </w:rPr>
        <w:t xml:space="preserve">‎Journal of Management‎</w:t>
      </w:r>
      <w:r>
        <w:rPr>
          <w:rFonts w:ascii="Arial" w:cs="Arial" w:eastAsia="Arial" w:hAnsi="Arial"/>
          <w:sz w:val="24"/>
          <w:szCs w:val="24"/>
          <w:rtl/>
        </w:rPr>
        <w:t xml:space="preserve">, מכתבי העת המובילים והמצוטטים ביותר בתחום הניהול וההתנהגות הארגונית. המאמר מציע הגדרה ברורה לחוסר ביטחון תעסוקתי, מסגרת מושגית המארגנת עשרות שנות מחקר, ותשובה לשאלה מדוע אנשים שונים מגיבים באופן שונה לאותו איום. כמאמר משלים (לצורך הגשה בשלשה) בחרנו את הסקירה של </w:t>
      </w:r>
      <w:r>
        <w:rPr>
          <w:rFonts w:ascii="Arial" w:cs="Arial" w:eastAsia="Arial" w:hAnsi="Arial"/>
          <w:sz w:val="24"/>
          <w:szCs w:val="24"/>
        </w:rPr>
        <w:t xml:space="preserve">‎Lee, Huang &amp; Ashford (2018)‎</w:t>
      </w:r>
      <w:r>
        <w:rPr>
          <w:rFonts w:ascii="Arial" w:cs="Arial" w:eastAsia="Arial" w:hAnsi="Arial"/>
          <w:sz w:val="24"/>
          <w:szCs w:val="24"/>
          <w:rtl/>
        </w:rPr>
        <w:t xml:space="preserve"> מתוך </w:t>
      </w:r>
      <w:r>
        <w:rPr>
          <w:rFonts w:ascii="Arial" w:cs="Arial" w:eastAsia="Arial" w:hAnsi="Arial"/>
          <w:sz w:val="24"/>
          <w:szCs w:val="24"/>
        </w:rPr>
        <w:t xml:space="preserve">‎Annual Review of Organizational Psychology and Organizational Behavior‎</w:t>
      </w:r>
      <w:r>
        <w:rPr>
          <w:rFonts w:ascii="Arial" w:cs="Arial" w:eastAsia="Arial" w:hAnsi="Arial"/>
          <w:sz w:val="24"/>
          <w:szCs w:val="24"/>
          <w:rtl/>
        </w:rPr>
        <w:t xml:space="preserve">, הבוחנת את התופעה בהקשר של עולם העבודה המשתנה ובהשוואה בין-תרבותית. לצידם נסתמך על המטא-אנליזה של </w:t>
      </w:r>
      <w:r>
        <w:rPr>
          <w:rFonts w:ascii="Arial" w:cs="Arial" w:eastAsia="Arial" w:hAnsi="Arial"/>
          <w:sz w:val="24"/>
          <w:szCs w:val="24"/>
        </w:rPr>
        <w:t xml:space="preserve">‎Jiang &amp; Lavaysse (2018)‎</w:t>
      </w:r>
      <w:r>
        <w:rPr>
          <w:rFonts w:ascii="Arial" w:cs="Arial" w:eastAsia="Arial" w:hAnsi="Arial"/>
          <w:sz w:val="24"/>
          <w:szCs w:val="24"/>
          <w:rtl/>
        </w:rPr>
        <w:t xml:space="preserve"> כראיה כמותית תומכת.</w:t>
      </w:r>
    </w:p>
    <w:p>
      <w:pPr>
        <w:bidi/>
        <w:spacing w:after="120" w:before="0" w:line="360"/>
        <w:jc w:val="both"/>
      </w:pPr>
      <w:r>
        <w:rPr>
          <w:rFonts w:ascii="Arial" w:cs="Arial" w:eastAsia="Arial" w:hAnsi="Arial"/>
          <w:sz w:val="24"/>
          <w:szCs w:val="24"/>
          <w:rtl/>
        </w:rPr>
        <w:t xml:space="preserve">העבודה בנויה כך: פרק 1 מציג את המאמר המרכזי; פרק 2 מסכם את תמציתו ואת נקודותיו המרכזיות; פרק 3 מנתח אותו לפי מבנה, שיטה וממצאים; פרק 4 מציג את המאמר המשלים ואת הראיות התומכות; פרק 5 מציג תובנות, מסקנות ודעה אישית; פרק 6 מציע יישום מעשי לניהול הקריירה שלנו ושל חברי הכיתה. בנספחים מובאים תכנון המצגת והאמצעים להמחשה, ושאלון קצר להערכה עצמית. העבודה מסתיימת ברשימת מקורות על פי כללי </w:t>
      </w:r>
      <w:r>
        <w:rPr>
          <w:rFonts w:ascii="Arial" w:cs="Arial" w:eastAsia="Arial" w:hAnsi="Arial"/>
          <w:sz w:val="24"/>
          <w:szCs w:val="24"/>
        </w:rPr>
        <w:t xml:space="preserve">‎APA‎</w:t>
      </w:r>
      <w:r>
        <w:rPr>
          <w:rFonts w:ascii="Arial" w:cs="Arial" w:eastAsia="Arial" w:hAnsi="Arial"/>
          <w:sz w:val="24"/>
          <w:szCs w:val="24"/>
          <w:rtl/>
        </w:rPr>
        <w:t xml:space="preserve">.</w:t>
      </w:r>
    </w:p>
    <w:p>
      <w:pPr>
        <w:pStyle w:val="Heading1"/>
        <w:bidi/>
        <w:spacing w:after="200" w:before="360"/>
        <w:jc w:val="right"/>
      </w:pPr>
      <w:r>
        <w:rPr>
          <w:rFonts w:ascii="Arial" w:cs="Arial" w:eastAsia="Arial" w:hAnsi="Arial"/>
          <w:b/>
          <w:bCs/>
          <w:color w:val="1F3864"/>
          <w:sz w:val="32"/>
          <w:szCs w:val="32"/>
          <w:rtl/>
        </w:rPr>
        <w:t xml:space="preserve">פרק 1: הצגת המאמר המרכזי</w:t>
      </w:r>
    </w:p>
    <w:p>
      <w:pPr>
        <w:pStyle w:val="Heading2"/>
        <w:bidi/>
        <w:spacing w:after="120" w:before="240"/>
        <w:jc w:val="right"/>
      </w:pPr>
      <w:r>
        <w:rPr>
          <w:rFonts w:ascii="Arial" w:cs="Arial" w:eastAsia="Arial" w:hAnsi="Arial"/>
          <w:b/>
          <w:bCs/>
          <w:color w:val="0E6E73"/>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פריט</w:t>
            </w:r>
          </w:p>
        </w:tc>
        <w:tc>
          <w:tcPr>
            <w:tcW w:type="dxa" w:w="6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Pr>
              <w:t xml:space="preserve">‎Job Insecurity: An Integrative Review and Agenda for Future Research‎</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מחברת</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Pr>
              <w:t xml:space="preserve">‎Mindy K. Shoss‎</w:t>
            </w:r>
            <w:r>
              <w:rPr>
                <w:rFonts w:ascii="Arial" w:cs="Arial" w:eastAsia="Arial" w:hAnsi="Arial"/>
                <w:sz w:val="22"/>
                <w:szCs w:val="22"/>
                <w:rtl/>
              </w:rPr>
              <w:t xml:space="preserve"> – חוקרת בתחום הפסיכולוגיה התעשייתית-ארגונית, אוניברסיטת סנטרל פלורידה (ארה"ב)</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Pr>
              <w:t xml:space="preserve">‎Journal of Management‎</w:t>
            </w:r>
            <w:r>
              <w:rPr>
                <w:rFonts w:ascii="Arial" w:cs="Arial" w:eastAsia="Arial" w:hAnsi="Arial"/>
                <w:sz w:val="22"/>
                <w:szCs w:val="22"/>
                <w:rtl/>
              </w:rPr>
              <w:t xml:space="preserve">, כרך 43, גיליון 6, עמ' 1911–1939 (2017)</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סקירה אינטגרטיבית (</w:t>
            </w:r>
            <w:r>
              <w:rPr>
                <w:rFonts w:ascii="Arial" w:cs="Arial" w:eastAsia="Arial" w:hAnsi="Arial"/>
                <w:sz w:val="22"/>
                <w:szCs w:val="22"/>
              </w:rPr>
              <w:t xml:space="preserve">‎Integrative Review‎</w:t>
            </w:r>
            <w:r>
              <w:rPr>
                <w:rFonts w:ascii="Arial" w:cs="Arial" w:eastAsia="Arial" w:hAnsi="Arial"/>
                <w:sz w:val="22"/>
                <w:szCs w:val="22"/>
                <w:rtl/>
              </w:rPr>
              <w:t xml:space="preserve">) – מאמר תיאורטי המסנתז ספרות מחקרית ומציע מסגרת מושגית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תחום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ניהול, התנהגות ארגונית, פסיכולוגיה תעסוקתית</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מהימנות</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כתב עת שפיט (</w:t>
            </w:r>
            <w:r>
              <w:rPr>
                <w:rFonts w:ascii="Arial" w:cs="Arial" w:eastAsia="Arial" w:hAnsi="Arial"/>
                <w:sz w:val="22"/>
                <w:szCs w:val="22"/>
              </w:rPr>
              <w:t xml:space="preserve">‎peer-reviewed‎</w:t>
            </w:r>
            <w:r>
              <w:rPr>
                <w:rFonts w:ascii="Arial" w:cs="Arial" w:eastAsia="Arial" w:hAnsi="Arial"/>
                <w:sz w:val="22"/>
                <w:szCs w:val="22"/>
                <w:rtl/>
              </w:rPr>
              <w:t xml:space="preserve">) מהמובילים בעולם בתחום הניהול; המאמר מצוטט מאות פעמים ומשמש נקודת ייחוס מרכזית במחקר על חוסר ביטחון תעסוקתי</w:t>
            </w:r>
          </w:p>
        </w:tc>
      </w:tr>
    </w:tbl>
    <w:p>
      <w:pPr>
        <w:spacing w:after="120"/>
      </w:pPr>
    </w:p>
    <w:p>
      <w:pPr>
        <w:pStyle w:val="Heading2"/>
        <w:bidi/>
        <w:spacing w:after="120" w:before="240"/>
        <w:jc w:val="right"/>
      </w:pPr>
      <w:r>
        <w:rPr>
          <w:rFonts w:ascii="Arial" w:cs="Arial" w:eastAsia="Arial" w:hAnsi="Arial"/>
          <w:b/>
          <w:bCs/>
          <w:color w:val="0E6E73"/>
          <w:sz w:val="28"/>
          <w:szCs w:val="28"/>
          <w:rtl/>
        </w:rPr>
        <w:t xml:space="preserve">1.2 רקע ומטרות המאמר</w:t>
      </w:r>
    </w:p>
    <w:p>
      <w:pPr>
        <w:bidi/>
        <w:spacing w:after="120" w:before="0" w:line="360"/>
        <w:jc w:val="both"/>
      </w:pPr>
      <w:r>
        <w:rPr>
          <w:rFonts w:ascii="Arial" w:cs="Arial" w:eastAsia="Arial" w:hAnsi="Arial"/>
          <w:sz w:val="24"/>
          <w:szCs w:val="24"/>
          <w:rtl/>
        </w:rPr>
        <w:t xml:space="preserve">המאמר נפתח בקביעה כי חוסר ביטחון תעסוקתי זוכה לתשומת לב מחקרית וציבורית הולכת וגוברת בעקבות שינויים טכנולוגיים, כלכליים ופוליטיים בעשורים האחרונים. עם זאת, לטענת המחברת, הספרות בתחום מפוצלת: חוקרים מדיסציפלינות שונות משתמשים בהגדרות שונות, מודדים את התופעה בדרכים שונות ומערבבים בין התופעה עצמה לבין הגורמים לה ותוצאותיה. מטרת המאמר היא לספק סדר – מסגרת מושגית אחת המאחדת את הידע הקיים ומכוונת את המחקר העתידי.</w:t>
      </w:r>
    </w:p>
    <w:p>
      <w:pPr>
        <w:bidi/>
        <w:spacing w:after="120" w:before="0" w:line="360"/>
        <w:jc w:val="both"/>
      </w:pPr>
      <w:r>
        <w:rPr>
          <w:rFonts w:ascii="Arial" w:cs="Arial" w:eastAsia="Arial" w:hAnsi="Arial"/>
          <w:sz w:val="24"/>
          <w:szCs w:val="24"/>
          <w:rtl/>
        </w:rPr>
        <w:t xml:space="preserve">באופן ספציפי, המאמר מציב חמש מטרות:</w:t>
      </w:r>
    </w:p>
    <w:p>
      <w:pPr>
        <w:pStyle w:val="ListParagraph"/>
        <w:numPr>
          <w:ilvl w:val="0"/>
          <w:numId w:val="3"/>
        </w:numPr>
        <w:bidi/>
        <w:spacing w:after="80" w:line="360"/>
        <w:jc w:val="both"/>
      </w:pPr>
      <w:r>
        <w:rPr>
          <w:rFonts w:ascii="Arial" w:cs="Arial" w:eastAsia="Arial" w:hAnsi="Arial"/>
          <w:sz w:val="24"/>
          <w:szCs w:val="24"/>
          <w:rtl/>
        </w:rPr>
        <w:t xml:space="preserve">להציע </w:t>
      </w:r>
      <w:r>
        <w:rPr>
          <w:rFonts w:ascii="Arial" w:cs="Arial" w:eastAsia="Arial" w:hAnsi="Arial"/>
          <w:b/>
          <w:bCs/>
          <w:sz w:val="24"/>
          <w:szCs w:val="24"/>
          <w:rtl/>
        </w:rPr>
        <w:t xml:space="preserve">הגדרה</w:t>
      </w:r>
      <w:r>
        <w:rPr>
          <w:rFonts w:ascii="Arial" w:cs="Arial" w:eastAsia="Arial" w:hAnsi="Arial"/>
          <w:sz w:val="24"/>
          <w:szCs w:val="24"/>
          <w:rtl/>
        </w:rPr>
        <w:t xml:space="preserve"> לחוסר ביטחון תעסוקתי המבחינה בינו לבין הגורמים לו, המשתנים הממתנים אותו ותוצאותיו.</w:t>
      </w:r>
    </w:p>
    <w:p>
      <w:pPr>
        <w:pStyle w:val="ListParagraph"/>
        <w:numPr>
          <w:ilvl w:val="0"/>
          <w:numId w:val="3"/>
        </w:numPr>
        <w:bidi/>
        <w:spacing w:after="80" w:line="360"/>
        <w:jc w:val="both"/>
      </w:pPr>
      <w:r>
        <w:rPr>
          <w:rFonts w:ascii="Arial" w:cs="Arial" w:eastAsia="Arial" w:hAnsi="Arial"/>
          <w:sz w:val="24"/>
          <w:szCs w:val="24"/>
          <w:rtl/>
        </w:rPr>
        <w:t xml:space="preserve">להציג </w:t>
      </w:r>
      <w:r>
        <w:rPr>
          <w:rFonts w:ascii="Arial" w:cs="Arial" w:eastAsia="Arial" w:hAnsi="Arial"/>
          <w:b/>
          <w:bCs/>
          <w:sz w:val="24"/>
          <w:szCs w:val="24"/>
          <w:rtl/>
        </w:rPr>
        <w:t xml:space="preserve">טיפולוגיה של מנגנונים ומוקדי איום</w:t>
      </w:r>
      <w:r>
        <w:rPr>
          <w:rFonts w:ascii="Arial" w:cs="Arial" w:eastAsia="Arial" w:hAnsi="Arial"/>
          <w:sz w:val="24"/>
          <w:szCs w:val="24"/>
          <w:rtl/>
        </w:rPr>
        <w:t xml:space="preserve"> המקשרים בין גורמים שונים (מאקרו, ארגוניים ואישיים) לבין תחושת חוסר הביטחון.</w:t>
      </w:r>
    </w:p>
    <w:p>
      <w:pPr>
        <w:pStyle w:val="ListParagraph"/>
        <w:numPr>
          <w:ilvl w:val="0"/>
          <w:numId w:val="3"/>
        </w:numPr>
        <w:bidi/>
        <w:spacing w:after="80" w:line="360"/>
        <w:jc w:val="both"/>
      </w:pPr>
      <w:r>
        <w:rPr>
          <w:rFonts w:ascii="Arial" w:cs="Arial" w:eastAsia="Arial" w:hAnsi="Arial"/>
          <w:sz w:val="24"/>
          <w:szCs w:val="24"/>
          <w:rtl/>
        </w:rPr>
        <w:t xml:space="preserve">לזהות </w:t>
      </w:r>
      <w:r>
        <w:rPr>
          <w:rFonts w:ascii="Arial" w:cs="Arial" w:eastAsia="Arial" w:hAnsi="Arial"/>
          <w:b/>
          <w:bCs/>
          <w:sz w:val="24"/>
          <w:szCs w:val="24"/>
          <w:rtl/>
        </w:rPr>
        <w:t xml:space="preserve">ארבעה מנגנונים מרכזיים</w:t>
      </w:r>
      <w:r>
        <w:rPr>
          <w:rFonts w:ascii="Arial" w:cs="Arial" w:eastAsia="Arial" w:hAnsi="Arial"/>
          <w:sz w:val="24"/>
          <w:szCs w:val="24"/>
          <w:rtl/>
        </w:rPr>
        <w:t xml:space="preserve"> שדרכם חוסר ביטחון תעסוקתי מוביל לתוצאות: לחץ, חליפין חברתי, מוטיבציה לשימור המשרה והתמודדות פרואקטיבית.</w:t>
      </w:r>
    </w:p>
    <w:p>
      <w:pPr>
        <w:pStyle w:val="ListParagraph"/>
        <w:numPr>
          <w:ilvl w:val="0"/>
          <w:numId w:val="3"/>
        </w:numPr>
        <w:bidi/>
        <w:spacing w:after="80" w:line="360"/>
        <w:jc w:val="both"/>
      </w:pPr>
      <w:r>
        <w:rPr>
          <w:rFonts w:ascii="Arial" w:cs="Arial" w:eastAsia="Arial" w:hAnsi="Arial"/>
          <w:sz w:val="24"/>
          <w:szCs w:val="24"/>
          <w:rtl/>
        </w:rPr>
        <w:t xml:space="preserve">להציע </w:t>
      </w:r>
      <w:r>
        <w:rPr>
          <w:rFonts w:ascii="Arial" w:cs="Arial" w:eastAsia="Arial" w:hAnsi="Arial"/>
          <w:b/>
          <w:bCs/>
          <w:sz w:val="24"/>
          <w:szCs w:val="24"/>
          <w:rtl/>
        </w:rPr>
        <w:t xml:space="preserve">שלוש קטגוריות של משתנים ממתנים</w:t>
      </w:r>
      <w:r>
        <w:rPr>
          <w:rFonts w:ascii="Arial" w:cs="Arial" w:eastAsia="Arial" w:hAnsi="Arial"/>
          <w:sz w:val="24"/>
          <w:szCs w:val="24"/>
          <w:rtl/>
        </w:rPr>
        <w:t xml:space="preserve"> – מאפייני האיום, פגיעוּת כלכלית ופגיעוּת פסיכולוגית – המסבירות מדוע אנשים שונים מגיבים באופן שונה.</w:t>
      </w:r>
    </w:p>
    <w:p>
      <w:pPr>
        <w:pStyle w:val="ListParagraph"/>
        <w:numPr>
          <w:ilvl w:val="0"/>
          <w:numId w:val="3"/>
        </w:numPr>
        <w:bidi/>
        <w:spacing w:after="80" w:line="360"/>
        <w:jc w:val="both"/>
      </w:pPr>
      <w:r>
        <w:rPr>
          <w:rFonts w:ascii="Arial" w:cs="Arial" w:eastAsia="Arial" w:hAnsi="Arial"/>
          <w:sz w:val="24"/>
          <w:szCs w:val="24"/>
          <w:rtl/>
        </w:rPr>
        <w:t xml:space="preserve">להתוות </w:t>
      </w:r>
      <w:r>
        <w:rPr>
          <w:rFonts w:ascii="Arial" w:cs="Arial" w:eastAsia="Arial" w:hAnsi="Arial"/>
          <w:b/>
          <w:bCs/>
          <w:sz w:val="24"/>
          <w:szCs w:val="24"/>
          <w:rtl/>
        </w:rPr>
        <w:t xml:space="preserve">אג'נדה למחקר עתידי</w:t>
      </w:r>
      <w:r>
        <w:rPr>
          <w:rFonts w:ascii="Arial" w:cs="Arial" w:eastAsia="Arial" w:hAnsi="Arial"/>
          <w:sz w:val="24"/>
          <w:szCs w:val="24"/>
          <w:rtl/>
        </w:rPr>
        <w:t xml:space="preserve">.</w:t>
      </w:r>
    </w:p>
    <w:p>
      <w:pPr>
        <w:pStyle w:val="Heading1"/>
        <w:bidi/>
        <w:spacing w:after="200" w:before="360"/>
        <w:jc w:val="right"/>
      </w:pPr>
      <w:r>
        <w:rPr>
          <w:rFonts w:ascii="Arial" w:cs="Arial" w:eastAsia="Arial" w:hAnsi="Arial"/>
          <w:b/>
          <w:bCs/>
          <w:color w:val="1F3864"/>
          <w:sz w:val="32"/>
          <w:szCs w:val="32"/>
          <w:rtl/>
        </w:rPr>
        <w:t xml:space="preserve">פרק 2: תמצית המאמר והנקודות המרכזיות</w:t>
      </w:r>
    </w:p>
    <w:p>
      <w:pPr>
        <w:pStyle w:val="Heading2"/>
        <w:bidi/>
        <w:spacing w:after="120" w:before="240"/>
        <w:jc w:val="right"/>
      </w:pPr>
      <w:r>
        <w:rPr>
          <w:rFonts w:ascii="Arial" w:cs="Arial" w:eastAsia="Arial" w:hAnsi="Arial"/>
          <w:b/>
          <w:bCs/>
          <w:color w:val="0E6E73"/>
          <w:sz w:val="28"/>
          <w:szCs w:val="28"/>
          <w:rtl/>
        </w:rPr>
        <w:t xml:space="preserve">2.1 ההגדרה: מהו חוסר ביטחון תעסוקתי?</w:t>
      </w:r>
    </w:p>
    <w:p>
      <w:pPr>
        <w:bidi/>
        <w:spacing w:after="120" w:before="0" w:line="360"/>
        <w:jc w:val="both"/>
      </w:pPr>
      <w:r>
        <w:rPr>
          <w:rFonts w:ascii="Arial" w:cs="Arial" w:eastAsia="Arial" w:hAnsi="Arial"/>
          <w:sz w:val="24"/>
          <w:szCs w:val="24"/>
        </w:rPr>
        <w:t xml:space="preserve">‎Shoss (2017)‎</w:t>
      </w:r>
      <w:r>
        <w:rPr>
          <w:rFonts w:ascii="Arial" w:cs="Arial" w:eastAsia="Arial" w:hAnsi="Arial"/>
          <w:sz w:val="24"/>
          <w:szCs w:val="24"/>
          <w:rtl/>
        </w:rPr>
        <w:t xml:space="preserve"> מגדירה חוסר ביטחון תעסוקתי כ"איום נתפס על ההמשכיות והיציבות של התעסוקה כפי שהיא נחווית כיום" (</w:t>
      </w:r>
      <w:r>
        <w:rPr>
          <w:rFonts w:ascii="Arial" w:cs="Arial" w:eastAsia="Arial" w:hAnsi="Arial"/>
          <w:sz w:val="24"/>
          <w:szCs w:val="24"/>
        </w:rPr>
        <w:t xml:space="preserve">‎“a perceived threat to the continuity and stability of employment as it is currently experienced”‎</w:t>
      </w:r>
      <w:r>
        <w:rPr>
          <w:rFonts w:ascii="Arial" w:cs="Arial" w:eastAsia="Arial" w:hAnsi="Arial"/>
          <w:sz w:val="24"/>
          <w:szCs w:val="24"/>
          <w:rtl/>
        </w:rPr>
        <w:t xml:space="preserve">). להגדרה ארבעה רכיבים חשובים:</w:t>
      </w:r>
    </w:p>
    <w:p>
      <w:pPr>
        <w:pStyle w:val="ListParagraph"/>
        <w:numPr>
          <w:ilvl w:val="0"/>
          <w:numId w:val="4"/>
        </w:numPr>
        <w:bidi/>
        <w:spacing w:after="80" w:line="360"/>
        <w:jc w:val="both"/>
      </w:pPr>
      <w:r>
        <w:rPr>
          <w:rFonts w:ascii="Arial" w:cs="Arial" w:eastAsia="Arial" w:hAnsi="Arial"/>
          <w:b/>
          <w:bCs/>
          <w:sz w:val="24"/>
          <w:szCs w:val="24"/>
          <w:rtl/>
        </w:rPr>
        <w:t xml:space="preserve">תפיסה סובייקטיבית</w:t>
      </w:r>
      <w:r>
        <w:rPr>
          <w:rFonts w:ascii="Arial" w:cs="Arial" w:eastAsia="Arial" w:hAnsi="Arial"/>
          <w:sz w:val="24"/>
          <w:szCs w:val="24"/>
          <w:rtl/>
        </w:rPr>
        <w:t xml:space="preserve"> – מדובר בחוויה של העובד ולא במצב אובייקטיבי. שני עובדים באותו ארגון, עם אותו חוזה, עשויים לחוש רמות שונות לחלוטין של ביטחון.</w:t>
      </w:r>
    </w:p>
    <w:p>
      <w:pPr>
        <w:pStyle w:val="ListParagraph"/>
        <w:numPr>
          <w:ilvl w:val="0"/>
          <w:numId w:val="4"/>
        </w:numPr>
        <w:bidi/>
        <w:spacing w:after="80" w:line="360"/>
        <w:jc w:val="both"/>
      </w:pPr>
      <w:r>
        <w:rPr>
          <w:rFonts w:ascii="Arial" w:cs="Arial" w:eastAsia="Arial" w:hAnsi="Arial"/>
          <w:b/>
          <w:bCs/>
          <w:sz w:val="24"/>
          <w:szCs w:val="24"/>
          <w:rtl/>
        </w:rPr>
        <w:t xml:space="preserve">איום</w:t>
      </w:r>
      <w:r>
        <w:rPr>
          <w:rFonts w:ascii="Arial" w:cs="Arial" w:eastAsia="Arial" w:hAnsi="Arial"/>
          <w:sz w:val="24"/>
          <w:szCs w:val="24"/>
          <w:rtl/>
        </w:rPr>
        <w:t xml:space="preserve"> – התופעה מכוונת אל העתיד. היא שונה מאבטלה (שכבר התרחשה) ומפיטורים בפועל; היא מצב של "לפני", של ציפייה לאובדן.</w:t>
      </w:r>
    </w:p>
    <w:p>
      <w:pPr>
        <w:pStyle w:val="ListParagraph"/>
        <w:numPr>
          <w:ilvl w:val="0"/>
          <w:numId w:val="4"/>
        </w:numPr>
        <w:bidi/>
        <w:spacing w:after="80" w:line="360"/>
        <w:jc w:val="both"/>
      </w:pPr>
      <w:r>
        <w:rPr>
          <w:rFonts w:ascii="Arial" w:cs="Arial" w:eastAsia="Arial" w:hAnsi="Arial"/>
          <w:b/>
          <w:bCs/>
          <w:sz w:val="24"/>
          <w:szCs w:val="24"/>
          <w:rtl/>
        </w:rPr>
        <w:t xml:space="preserve">המשכיות ויציבות</w:t>
      </w:r>
      <w:r>
        <w:rPr>
          <w:rFonts w:ascii="Arial" w:cs="Arial" w:eastAsia="Arial" w:hAnsi="Arial"/>
          <w:sz w:val="24"/>
          <w:szCs w:val="24"/>
          <w:rtl/>
        </w:rPr>
        <w:t xml:space="preserve"> – האיום יכול להיות על עצם קיום המשרה (המשכיות) או על מאפייניה החשובים – שכר, קידום, אוטונומיה, עמיתים, מיקום (יציבות).</w:t>
      </w:r>
    </w:p>
    <w:p>
      <w:pPr>
        <w:pStyle w:val="ListParagraph"/>
        <w:numPr>
          <w:ilvl w:val="0"/>
          <w:numId w:val="4"/>
        </w:numPr>
        <w:bidi/>
        <w:spacing w:after="80" w:line="360"/>
        <w:jc w:val="both"/>
      </w:pPr>
      <w:r>
        <w:rPr>
          <w:rFonts w:ascii="Arial" w:cs="Arial" w:eastAsia="Arial" w:hAnsi="Arial"/>
          <w:b/>
          <w:bCs/>
          <w:sz w:val="24"/>
          <w:szCs w:val="24"/>
          <w:rtl/>
        </w:rPr>
        <w:t xml:space="preserve">כפי שהיא נחווית כיום</w:t>
      </w:r>
      <w:r>
        <w:rPr>
          <w:rFonts w:ascii="Arial" w:cs="Arial" w:eastAsia="Arial" w:hAnsi="Arial"/>
          <w:sz w:val="24"/>
          <w:szCs w:val="24"/>
          <w:rtl/>
        </w:rPr>
        <w:t xml:space="preserve"> – ההתייחסות היא למשרה הנוכחית, ולא לחשש כללי מהעתיד או לתחושת "יכולת תעסוקה" נמוכה.</w:t>
      </w:r>
    </w:p>
    <w:p>
      <w:pPr>
        <w:pStyle w:val="Heading2"/>
        <w:bidi/>
        <w:spacing w:after="120" w:before="240"/>
        <w:jc w:val="right"/>
      </w:pPr>
      <w:r>
        <w:rPr>
          <w:rFonts w:ascii="Arial" w:cs="Arial" w:eastAsia="Arial" w:hAnsi="Arial"/>
          <w:b/>
          <w:bCs/>
          <w:color w:val="0E6E73"/>
          <w:sz w:val="28"/>
          <w:szCs w:val="28"/>
          <w:rtl/>
        </w:rPr>
        <w:t xml:space="preserve">2.2 ממדי התופעה ומוקדי האיום</w:t>
      </w:r>
    </w:p>
    <w:p>
      <w:pPr>
        <w:bidi/>
        <w:spacing w:after="120" w:before="0" w:line="360"/>
        <w:jc w:val="both"/>
      </w:pPr>
      <w:r>
        <w:rPr>
          <w:rFonts w:ascii="Arial" w:cs="Arial" w:eastAsia="Arial" w:hAnsi="Arial"/>
          <w:sz w:val="24"/>
          <w:szCs w:val="24"/>
          <w:rtl/>
        </w:rPr>
        <w:t xml:space="preserve">המאמר מארגן את ההבחנות המקובלות בספרות סביב שני צירים. הציר הראשון, בעקבות </w:t>
      </w:r>
      <w:r>
        <w:rPr>
          <w:rFonts w:ascii="Arial" w:cs="Arial" w:eastAsia="Arial" w:hAnsi="Arial"/>
          <w:sz w:val="24"/>
          <w:szCs w:val="24"/>
        </w:rPr>
        <w:t xml:space="preserve">‎Hellgren, Sverke &amp; Isaksson (1999)‎</w:t>
      </w:r>
      <w:r>
        <w:rPr>
          <w:rFonts w:ascii="Arial" w:cs="Arial" w:eastAsia="Arial" w:hAnsi="Arial"/>
          <w:sz w:val="24"/>
          <w:szCs w:val="24"/>
          <w:rtl/>
        </w:rPr>
        <w:t xml:space="preserve">, מבחין בין </w:t>
      </w:r>
      <w:r>
        <w:rPr>
          <w:rFonts w:ascii="Arial" w:cs="Arial" w:eastAsia="Arial" w:hAnsi="Arial"/>
          <w:b/>
          <w:bCs/>
          <w:sz w:val="24"/>
          <w:szCs w:val="24"/>
          <w:rtl/>
        </w:rPr>
        <w:t xml:space="preserve">חוסר ביטחון כמותי</w:t>
      </w:r>
      <w:r>
        <w:rPr>
          <w:rFonts w:ascii="Arial" w:cs="Arial" w:eastAsia="Arial" w:hAnsi="Arial"/>
          <w:sz w:val="24"/>
          <w:szCs w:val="24"/>
          <w:rtl/>
        </w:rPr>
        <w:t xml:space="preserve"> (חשש לאבד את המשרה כולה) לבין </w:t>
      </w:r>
      <w:r>
        <w:rPr>
          <w:rFonts w:ascii="Arial" w:cs="Arial" w:eastAsia="Arial" w:hAnsi="Arial"/>
          <w:b/>
          <w:bCs/>
          <w:sz w:val="24"/>
          <w:szCs w:val="24"/>
          <w:rtl/>
        </w:rPr>
        <w:t xml:space="preserve">חוסר ביטחון איכותני</w:t>
      </w:r>
      <w:r>
        <w:rPr>
          <w:rFonts w:ascii="Arial" w:cs="Arial" w:eastAsia="Arial" w:hAnsi="Arial"/>
          <w:sz w:val="24"/>
          <w:szCs w:val="24"/>
          <w:rtl/>
        </w:rPr>
        <w:t xml:space="preserve"> (חשש לאבד מאפיינים מוערכים של המשרה, גם אם היא נשמרת). הציר השני מבחין בין </w:t>
      </w:r>
      <w:r>
        <w:rPr>
          <w:rFonts w:ascii="Arial" w:cs="Arial" w:eastAsia="Arial" w:hAnsi="Arial"/>
          <w:b/>
          <w:bCs/>
          <w:sz w:val="24"/>
          <w:szCs w:val="24"/>
          <w:rtl/>
        </w:rPr>
        <w:t xml:space="preserve">הרכיב הקוגניטיבי</w:t>
      </w:r>
      <w:r>
        <w:rPr>
          <w:rFonts w:ascii="Arial" w:cs="Arial" w:eastAsia="Arial" w:hAnsi="Arial"/>
          <w:sz w:val="24"/>
          <w:szCs w:val="24"/>
          <w:rtl/>
        </w:rPr>
        <w:t xml:space="preserve"> (ההערכה עד כמה האיום סביר) לבין </w:t>
      </w:r>
      <w:r>
        <w:rPr>
          <w:rFonts w:ascii="Arial" w:cs="Arial" w:eastAsia="Arial" w:hAnsi="Arial"/>
          <w:b/>
          <w:bCs/>
          <w:sz w:val="24"/>
          <w:szCs w:val="24"/>
          <w:rtl/>
        </w:rPr>
        <w:t xml:space="preserve">הרכיב הרגשי</w:t>
      </w:r>
      <w:r>
        <w:rPr>
          <w:rFonts w:ascii="Arial" w:cs="Arial" w:eastAsia="Arial" w:hAnsi="Arial"/>
          <w:sz w:val="24"/>
          <w:szCs w:val="24"/>
          <w:rtl/>
        </w:rPr>
        <w:t xml:space="preserve"> (הדאגה, החרדה והמצוקה שהאיום מעורר). </w:t>
      </w:r>
      <w:r>
        <w:rPr>
          <w:rFonts w:ascii="Arial" w:cs="Arial" w:eastAsia="Arial" w:hAnsi="Arial"/>
          <w:sz w:val="24"/>
          <w:szCs w:val="24"/>
        </w:rPr>
        <w:t xml:space="preserve">‎Shoss‎</w:t>
      </w:r>
      <w:r>
        <w:rPr>
          <w:rFonts w:ascii="Arial" w:cs="Arial" w:eastAsia="Arial" w:hAnsi="Arial"/>
          <w:sz w:val="24"/>
          <w:szCs w:val="24"/>
          <w:rtl/>
        </w:rPr>
        <w:t xml:space="preserve"> מכנה את הצירים הללו "מוקדי איום" (</w:t>
      </w:r>
      <w:r>
        <w:rPr>
          <w:rFonts w:ascii="Arial" w:cs="Arial" w:eastAsia="Arial" w:hAnsi="Arial"/>
          <w:sz w:val="24"/>
          <w:szCs w:val="24"/>
        </w:rPr>
        <w:t xml:space="preserve">‎threat foci‎</w:t>
      </w:r>
      <w:r>
        <w:rPr>
          <w:rFonts w:ascii="Arial" w:cs="Arial" w:eastAsia="Arial" w:hAnsi="Arial"/>
          <w:sz w:val="24"/>
          <w:szCs w:val="24"/>
          <w:rtl/>
        </w:rPr>
        <w:t xml:space="preserve">) ומדגישה כי בעידן של שינויים טכנולוגיים, האיום האיכותני – "המשרה תישאר אבל תשתנה לרעה" – חשוב לא פחות מן האיום הכמותי.</w:t>
      </w:r>
    </w:p>
    <w:p>
      <w:pPr>
        <w:pStyle w:val="Heading2"/>
        <w:bidi/>
        <w:spacing w:after="120" w:before="240"/>
        <w:jc w:val="right"/>
      </w:pPr>
      <w:r>
        <w:rPr>
          <w:rFonts w:ascii="Arial" w:cs="Arial" w:eastAsia="Arial" w:hAnsi="Arial"/>
          <w:b/>
          <w:bCs/>
          <w:color w:val="0E6E73"/>
          <w:sz w:val="28"/>
          <w:szCs w:val="28"/>
          <w:rtl/>
        </w:rPr>
        <w:t xml:space="preserve">2.3 הגורמים לחוסר ביטחון תעסוקתי</w:t>
      </w:r>
    </w:p>
    <w:p>
      <w:pPr>
        <w:bidi/>
        <w:spacing w:after="120" w:before="0" w:line="360"/>
        <w:jc w:val="both"/>
      </w:pPr>
      <w:r>
        <w:rPr>
          <w:rFonts w:ascii="Arial" w:cs="Arial" w:eastAsia="Arial" w:hAnsi="Arial"/>
          <w:sz w:val="24"/>
          <w:szCs w:val="24"/>
          <w:rtl/>
        </w:rPr>
        <w:t xml:space="preserve">המאמר ממפה את הגורמים (</w:t>
      </w:r>
      <w:r>
        <w:rPr>
          <w:rFonts w:ascii="Arial" w:cs="Arial" w:eastAsia="Arial" w:hAnsi="Arial"/>
          <w:sz w:val="24"/>
          <w:szCs w:val="24"/>
        </w:rPr>
        <w:t xml:space="preserve">‎antecedents‎</w:t>
      </w:r>
      <w:r>
        <w:rPr>
          <w:rFonts w:ascii="Arial" w:cs="Arial" w:eastAsia="Arial" w:hAnsi="Arial"/>
          <w:sz w:val="24"/>
          <w:szCs w:val="24"/>
          <w:rtl/>
        </w:rPr>
        <w:t xml:space="preserve">) בשלוש רמות ומציע כי כל אחד מהם פועל דרך מנגנון מסוים – למשל, איתותים ורמזים בסביבה, השוואה חברתית או נטיות אישיות המגבירות רגישות לאיום: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רמה</w:t>
            </w:r>
          </w:p>
        </w:tc>
        <w:tc>
          <w:tcPr>
            <w:tcW w:type="dxa" w:w="7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דוגמאות לגורמים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מאקרו / סביבתית</w:t>
            </w:r>
          </w:p>
        </w:tc>
        <w:tc>
          <w:tcPr>
            <w:tcW w:type="dxa" w:w="7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מיתון ושיעורי אבטלה, שינויים טכנולוגיים (אוטומציה ובינה מלאכותית), גלובליזציה, רגולציה ומדיניות ממשלתית, משברים ביטחוניים ובריאותיים</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ארגונית / תעסוקתית</w:t>
            </w:r>
          </w:p>
        </w:tc>
        <w:tc>
          <w:tcPr>
            <w:tcW w:type="dxa" w:w="7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צמצומים (</w:t>
            </w:r>
            <w:r>
              <w:rPr>
                <w:rFonts w:ascii="Arial" w:cs="Arial" w:eastAsia="Arial" w:hAnsi="Arial"/>
                <w:sz w:val="22"/>
                <w:szCs w:val="22"/>
              </w:rPr>
              <w:t xml:space="preserve">‎downsizing‎</w:t>
            </w:r>
            <w:r>
              <w:rPr>
                <w:rFonts w:ascii="Arial" w:cs="Arial" w:eastAsia="Arial" w:hAnsi="Arial"/>
                <w:sz w:val="22"/>
                <w:szCs w:val="22"/>
                <w:rtl/>
              </w:rPr>
              <w:t xml:space="preserve">), מיזוגים ורכישות, ארגון מחדש, מיקור חוץ, חוזים זמניים, תקשורת ארגונית לקויה, תחושת חוסר צדק, שמועות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אישית</w:t>
            </w:r>
          </w:p>
        </w:tc>
        <w:tc>
          <w:tcPr>
            <w:tcW w:type="dxa" w:w="7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תכונות אישיות (רגשיות שלילית, מוקד שליטה חיצוני, הערכה עצמית נמוכה), גיל, ותק, השכלה, יכולת תעסוקה (</w:t>
            </w:r>
            <w:r>
              <w:rPr>
                <w:rFonts w:ascii="Arial" w:cs="Arial" w:eastAsia="Arial" w:hAnsi="Arial"/>
                <w:sz w:val="22"/>
                <w:szCs w:val="22"/>
              </w:rPr>
              <w:t xml:space="preserve">‎employability‎</w:t>
            </w:r>
            <w:r>
              <w:rPr>
                <w:rFonts w:ascii="Arial" w:cs="Arial" w:eastAsia="Arial" w:hAnsi="Arial"/>
                <w:sz w:val="22"/>
                <w:szCs w:val="22"/>
                <w:rtl/>
              </w:rPr>
              <w:t xml:space="preserve">) נתפסת, מצב משפחתי וכלכלי</w:t>
            </w:r>
          </w:p>
        </w:tc>
      </w:tr>
    </w:tbl>
    <w:p>
      <w:pPr>
        <w:spacing w:after="120"/>
      </w:pPr>
    </w:p>
    <w:p>
      <w:pPr>
        <w:pStyle w:val="Heading2"/>
        <w:bidi/>
        <w:spacing w:after="120" w:before="240"/>
        <w:jc w:val="right"/>
      </w:pPr>
      <w:r>
        <w:rPr>
          <w:rFonts w:ascii="Arial" w:cs="Arial" w:eastAsia="Arial" w:hAnsi="Arial"/>
          <w:b/>
          <w:bCs/>
          <w:color w:val="0E6E73"/>
          <w:sz w:val="28"/>
          <w:szCs w:val="28"/>
          <w:rtl/>
        </w:rPr>
        <w:t xml:space="preserve">2.4 ארבעת המנגנונים: כיצד חוסר ביטחון מוביל לתוצאות?</w:t>
      </w:r>
    </w:p>
    <w:p>
      <w:pPr>
        <w:bidi/>
        <w:spacing w:after="120" w:before="0" w:line="360"/>
        <w:jc w:val="both"/>
      </w:pPr>
      <w:r>
        <w:rPr>
          <w:rFonts w:ascii="Arial" w:cs="Arial" w:eastAsia="Arial" w:hAnsi="Arial"/>
          <w:sz w:val="24"/>
          <w:szCs w:val="24"/>
          <w:rtl/>
        </w:rPr>
        <w:t xml:space="preserve">תרומתו המרכזית של המאמר היא בזיהוי ארבעה מנגנונים מקבילים – ולעיתים סותרים – שדרכם חוסר ביטחון תעסוקתי משפיע על העובד:</w:t>
      </w:r>
    </w:p>
    <w:p>
      <w:pPr>
        <w:pStyle w:val="ListParagraph"/>
        <w:numPr>
          <w:ilvl w:val="0"/>
          <w:numId w:val="5"/>
        </w:numPr>
        <w:bidi/>
        <w:spacing w:after="80" w:line="360"/>
        <w:jc w:val="both"/>
      </w:pPr>
      <w:r>
        <w:rPr>
          <w:rFonts w:ascii="Arial" w:cs="Arial" w:eastAsia="Arial" w:hAnsi="Arial"/>
          <w:b/>
          <w:bCs/>
          <w:sz w:val="24"/>
          <w:szCs w:val="24"/>
          <w:rtl/>
        </w:rPr>
        <w:t xml:space="preserve">מנגנון הלחץ (</w:t>
      </w:r>
      <w:r>
        <w:rPr>
          <w:rFonts w:ascii="Arial" w:cs="Arial" w:eastAsia="Arial" w:hAnsi="Arial"/>
          <w:b/>
          <w:bCs/>
          <w:sz w:val="24"/>
          <w:szCs w:val="24"/>
        </w:rPr>
        <w:t xml:space="preserve">‎Stress‎</w:t>
      </w:r>
      <w:r>
        <w:rPr>
          <w:rFonts w:ascii="Arial" w:cs="Arial" w:eastAsia="Arial" w:hAnsi="Arial"/>
          <w:b/>
          <w:bCs/>
          <w:sz w:val="24"/>
          <w:szCs w:val="24"/>
          <w:rtl/>
        </w:rPr>
        <w:t xml:space="preserve">)</w:t>
      </w:r>
      <w:r>
        <w:rPr>
          <w:rFonts w:ascii="Arial" w:cs="Arial" w:eastAsia="Arial" w:hAnsi="Arial"/>
          <w:sz w:val="24"/>
          <w:szCs w:val="24"/>
          <w:rtl/>
        </w:rPr>
        <w:t xml:space="preserve"> – בהתבסס על תיאוריית ההערכה וההתמודדות (</w:t>
      </w:r>
      <w:r>
        <w:rPr>
          <w:rFonts w:ascii="Arial" w:cs="Arial" w:eastAsia="Arial" w:hAnsi="Arial"/>
          <w:sz w:val="24"/>
          <w:szCs w:val="24"/>
        </w:rPr>
        <w:t xml:space="preserve">‎Lazarus &amp; Folkman, 1984‎</w:t>
      </w:r>
      <w:r>
        <w:rPr>
          <w:rFonts w:ascii="Arial" w:cs="Arial" w:eastAsia="Arial" w:hAnsi="Arial"/>
          <w:sz w:val="24"/>
          <w:szCs w:val="24"/>
          <w:rtl/>
        </w:rPr>
        <w:t xml:space="preserve">) ועל תיאוריית שימור המשאבים (</w:t>
      </w:r>
      <w:r>
        <w:rPr>
          <w:rFonts w:ascii="Arial" w:cs="Arial" w:eastAsia="Arial" w:hAnsi="Arial"/>
          <w:sz w:val="24"/>
          <w:szCs w:val="24"/>
        </w:rPr>
        <w:t xml:space="preserve">‎Hobfoll, 1989‎</w:t>
      </w:r>
      <w:r>
        <w:rPr>
          <w:rFonts w:ascii="Arial" w:cs="Arial" w:eastAsia="Arial" w:hAnsi="Arial"/>
          <w:sz w:val="24"/>
          <w:szCs w:val="24"/>
          <w:rtl/>
        </w:rPr>
        <w:t xml:space="preserve">), חוסר ביטחון נחווה כאיום על משאבים חיוניים (הכנסה, מעמד, זהות, שגרה). האיום הצפוי, ולא רק האובדן בפועל, מדלדל משאבים ומוביל למתח, שחיקה, ירידה בבריאות הנפשית והפיזית, בעיות שינה והשלכות על חיי המשפחה.</w:t>
      </w:r>
    </w:p>
    <w:p>
      <w:pPr>
        <w:pStyle w:val="ListParagraph"/>
        <w:numPr>
          <w:ilvl w:val="0"/>
          <w:numId w:val="5"/>
        </w:numPr>
        <w:bidi/>
        <w:spacing w:after="80" w:line="360"/>
        <w:jc w:val="both"/>
      </w:pPr>
      <w:r>
        <w:rPr>
          <w:rFonts w:ascii="Arial" w:cs="Arial" w:eastAsia="Arial" w:hAnsi="Arial"/>
          <w:b/>
          <w:bCs/>
          <w:sz w:val="24"/>
          <w:szCs w:val="24"/>
          <w:rtl/>
        </w:rPr>
        <w:t xml:space="preserve">מנגנון החליפין החברתי (</w:t>
      </w:r>
      <w:r>
        <w:rPr>
          <w:rFonts w:ascii="Arial" w:cs="Arial" w:eastAsia="Arial" w:hAnsi="Arial"/>
          <w:b/>
          <w:bCs/>
          <w:sz w:val="24"/>
          <w:szCs w:val="24"/>
        </w:rPr>
        <w:t xml:space="preserve">‎Social Exchange‎</w:t>
      </w:r>
      <w:r>
        <w:rPr>
          <w:rFonts w:ascii="Arial" w:cs="Arial" w:eastAsia="Arial" w:hAnsi="Arial"/>
          <w:b/>
          <w:bCs/>
          <w:sz w:val="24"/>
          <w:szCs w:val="24"/>
          <w:rtl/>
        </w:rPr>
        <w:t xml:space="preserve">)</w:t>
      </w:r>
      <w:r>
        <w:rPr>
          <w:rFonts w:ascii="Arial" w:cs="Arial" w:eastAsia="Arial" w:hAnsi="Arial"/>
          <w:sz w:val="24"/>
          <w:szCs w:val="24"/>
          <w:rtl/>
        </w:rPr>
        <w:t xml:space="preserve"> – העובד תופס את חוסר הביטחון כהפרה של החוזה הפסיכולוגי: "אני נותן נאמנות ומאמץ, והארגון אמור לתת ביטחון". ההפרה מובילה לירידה במחויבות, באמון ובשביעות הרצון, לצמצום התנהגויות אזרחות ארגונית ולעיתים להתנהגויות נגד-פרודוקטיביות.</w:t>
      </w:r>
    </w:p>
    <w:p>
      <w:pPr>
        <w:pStyle w:val="ListParagraph"/>
        <w:numPr>
          <w:ilvl w:val="0"/>
          <w:numId w:val="5"/>
        </w:numPr>
        <w:bidi/>
        <w:spacing w:after="80" w:line="360"/>
        <w:jc w:val="both"/>
      </w:pPr>
      <w:r>
        <w:rPr>
          <w:rFonts w:ascii="Arial" w:cs="Arial" w:eastAsia="Arial" w:hAnsi="Arial"/>
          <w:b/>
          <w:bCs/>
          <w:sz w:val="24"/>
          <w:szCs w:val="24"/>
          <w:rtl/>
        </w:rPr>
        <w:t xml:space="preserve">מנגנון המוטיבציה לשימור המשרה (</w:t>
      </w:r>
      <w:r>
        <w:rPr>
          <w:rFonts w:ascii="Arial" w:cs="Arial" w:eastAsia="Arial" w:hAnsi="Arial"/>
          <w:b/>
          <w:bCs/>
          <w:sz w:val="24"/>
          <w:szCs w:val="24"/>
        </w:rPr>
        <w:t xml:space="preserve">‎Job Preservation Motivation‎</w:t>
      </w:r>
      <w:r>
        <w:rPr>
          <w:rFonts w:ascii="Arial" w:cs="Arial" w:eastAsia="Arial" w:hAnsi="Arial"/>
          <w:b/>
          <w:bCs/>
          <w:sz w:val="24"/>
          <w:szCs w:val="24"/>
          <w:rtl/>
        </w:rPr>
        <w:t xml:space="preserve">)</w:t>
      </w:r>
      <w:r>
        <w:rPr>
          <w:rFonts w:ascii="Arial" w:cs="Arial" w:eastAsia="Arial" w:hAnsi="Arial"/>
          <w:sz w:val="24"/>
          <w:szCs w:val="24"/>
          <w:rtl/>
        </w:rPr>
        <w:t xml:space="preserve"> – בניגוד לשני הקודמים, מנגנון זה מסביר מדוע לעיתים עובדים חסרי ביטחון דווקא "מתכופפים": עובדים קשה יותר, נמנעים מהשמעת ביקורת, עוסקים בניהול רושם ומגיעים לעבודה גם כשהם חולים. תגובות אלו משמרות את המשרה בטווח הקצר, אך במחיר בריאותי ורגשי.</w:t>
      </w:r>
    </w:p>
    <w:p>
      <w:pPr>
        <w:pStyle w:val="ListParagraph"/>
        <w:numPr>
          <w:ilvl w:val="0"/>
          <w:numId w:val="5"/>
        </w:numPr>
        <w:bidi/>
        <w:spacing w:after="80" w:line="360"/>
        <w:jc w:val="both"/>
      </w:pPr>
      <w:r>
        <w:rPr>
          <w:rFonts w:ascii="Arial" w:cs="Arial" w:eastAsia="Arial" w:hAnsi="Arial"/>
          <w:b/>
          <w:bCs/>
          <w:sz w:val="24"/>
          <w:szCs w:val="24"/>
          <w:rtl/>
        </w:rPr>
        <w:t xml:space="preserve">מנגנון ההתמודדות הפרואקטיבית (</w:t>
      </w:r>
      <w:r>
        <w:rPr>
          <w:rFonts w:ascii="Arial" w:cs="Arial" w:eastAsia="Arial" w:hAnsi="Arial"/>
          <w:b/>
          <w:bCs/>
          <w:sz w:val="24"/>
          <w:szCs w:val="24"/>
        </w:rPr>
        <w:t xml:space="preserve">‎Proactive Coping‎</w:t>
      </w:r>
      <w:r>
        <w:rPr>
          <w:rFonts w:ascii="Arial" w:cs="Arial" w:eastAsia="Arial" w:hAnsi="Arial"/>
          <w:b/>
          <w:bCs/>
          <w:sz w:val="24"/>
          <w:szCs w:val="24"/>
          <w:rtl/>
        </w:rPr>
        <w:t xml:space="preserve">)</w:t>
      </w:r>
      <w:r>
        <w:rPr>
          <w:rFonts w:ascii="Arial" w:cs="Arial" w:eastAsia="Arial" w:hAnsi="Arial"/>
          <w:sz w:val="24"/>
          <w:szCs w:val="24"/>
          <w:rtl/>
        </w:rPr>
        <w:t xml:space="preserve"> – חוסר ביטחון עשוי לדרבן חיפוש עבודה, רכישת מיומנויות חדשות, בניית רשת קשרים ותכנון חלופות קריירה. זהו המנגנון ה"בריא" ביותר, אך הוא דורש משאבים – זמן, אנרגיה, ביטחון עצמי – שמנגנון הלחץ מדלדל.</w:t>
      </w:r>
    </w:p>
    <w:p>
      <w:pPr>
        <w:bidi/>
        <w:spacing w:after="120" w:before="0" w:line="360"/>
        <w:jc w:val="both"/>
      </w:pPr>
      <w:r>
        <w:rPr>
          <w:rFonts w:ascii="Arial" w:cs="Arial" w:eastAsia="Arial" w:hAnsi="Arial"/>
          <w:sz w:val="24"/>
          <w:szCs w:val="24"/>
        </w:rPr>
        <w:t xml:space="preserve">‎Shoss‎</w:t>
      </w:r>
      <w:r>
        <w:rPr>
          <w:rFonts w:ascii="Arial" w:cs="Arial" w:eastAsia="Arial" w:hAnsi="Arial"/>
          <w:sz w:val="24"/>
          <w:szCs w:val="24"/>
          <w:rtl/>
        </w:rPr>
        <w:t xml:space="preserve"> מדגישה את </w:t>
      </w:r>
      <w:r>
        <w:rPr>
          <w:rFonts w:ascii="Arial" w:cs="Arial" w:eastAsia="Arial" w:hAnsi="Arial"/>
          <w:b/>
          <w:bCs/>
          <w:sz w:val="24"/>
          <w:szCs w:val="24"/>
          <w:rtl/>
        </w:rPr>
        <w:t xml:space="preserve">המתחים המובנים</w:t>
      </w:r>
      <w:r>
        <w:rPr>
          <w:rFonts w:ascii="Arial" w:cs="Arial" w:eastAsia="Arial" w:hAnsi="Arial"/>
          <w:sz w:val="24"/>
          <w:szCs w:val="24"/>
          <w:rtl/>
        </w:rPr>
        <w:t xml:space="preserve"> בין המנגנונים: העובד עשוי לרצות בו-זמנית להשקיע יותר כדי לשמור על המשרה ולחפש עבודה אחרת; הלחץ שהאיום מייצר פוגע ביכולת לפעול באופן פרואקטיבי. הבנת המתח הזה מסבירה מדוע מחקרים שונים מצאו קשרים סותרים בין חוסר ביטחון לבין ביצועים.</w:t>
      </w:r>
    </w:p>
    <w:p>
      <w:pPr>
        <w:pStyle w:val="Heading2"/>
        <w:bidi/>
        <w:spacing w:after="120" w:before="240"/>
        <w:jc w:val="right"/>
      </w:pPr>
      <w:r>
        <w:rPr>
          <w:rFonts w:ascii="Arial" w:cs="Arial" w:eastAsia="Arial" w:hAnsi="Arial"/>
          <w:b/>
          <w:bCs/>
          <w:color w:val="0E6E73"/>
          <w:sz w:val="28"/>
          <w:szCs w:val="28"/>
          <w:rtl/>
        </w:rPr>
        <w:t xml:space="preserve">2.5 המשתנים הממתנים: מדוע לא כולם מגיבים אותו דבר?</w:t>
      </w:r>
    </w:p>
    <w:p>
      <w:pPr>
        <w:bidi/>
        <w:spacing w:after="120" w:before="0" w:line="360"/>
        <w:jc w:val="both"/>
      </w:pPr>
      <w:r>
        <w:rPr>
          <w:rFonts w:ascii="Arial" w:cs="Arial" w:eastAsia="Arial" w:hAnsi="Arial"/>
          <w:sz w:val="24"/>
          <w:szCs w:val="24"/>
          <w:rtl/>
        </w:rPr>
        <w:t xml:space="preserve">המאמר מציע שלוש קטגוריות של משתנים הממתנים (</w:t>
      </w:r>
      <w:r>
        <w:rPr>
          <w:rFonts w:ascii="Arial" w:cs="Arial" w:eastAsia="Arial" w:hAnsi="Arial"/>
          <w:sz w:val="24"/>
          <w:szCs w:val="24"/>
        </w:rPr>
        <w:t xml:space="preserve">‎moderators‎</w:t>
      </w:r>
      <w:r>
        <w:rPr>
          <w:rFonts w:ascii="Arial" w:cs="Arial" w:eastAsia="Arial" w:hAnsi="Arial"/>
          <w:sz w:val="24"/>
          <w:szCs w:val="24"/>
          <w:rtl/>
        </w:rPr>
        <w:t xml:space="preserve">) את עוצמת התגובה לחוסר ביטחון: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קטגוריה</w:t>
            </w:r>
          </w:p>
        </w:tc>
        <w:tc>
          <w:tcPr>
            <w:tcW w:type="dxa" w:w="6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משתנים לדוגמה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מאפייני האיום (</w:t>
            </w:r>
            <w:r>
              <w:rPr>
                <w:rFonts w:ascii="Arial" w:cs="Arial" w:eastAsia="Arial" w:hAnsi="Arial"/>
                <w:sz w:val="22"/>
                <w:szCs w:val="22"/>
              </w:rPr>
              <w:t xml:space="preserve">‎Threat Features‎</w:t>
            </w:r>
            <w:r>
              <w:rPr>
                <w:rFonts w:ascii="Arial" w:cs="Arial" w:eastAsia="Arial" w:hAnsi="Arial"/>
                <w:sz w:val="22"/>
                <w:szCs w:val="22"/>
                <w:rtl/>
              </w:rPr>
              <w:t xml:space="preserve">)</w:t>
            </w:r>
          </w:p>
        </w:tc>
        <w:tc>
          <w:tcPr>
            <w:tcW w:type="dxa" w:w="6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הסתברות האיום, חומרתו, מיידיותו, משך הזמן שבו הוא נמשך, ומידת השליטה הנתפסת של העובד עליו</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פגיעוּת כלכלית (</w:t>
            </w:r>
            <w:r>
              <w:rPr>
                <w:rFonts w:ascii="Arial" w:cs="Arial" w:eastAsia="Arial" w:hAnsi="Arial"/>
                <w:sz w:val="22"/>
                <w:szCs w:val="22"/>
              </w:rPr>
              <w:t xml:space="preserve">‎Economic Vulnerabilities‎</w:t>
            </w:r>
            <w:r>
              <w:rPr>
                <w:rFonts w:ascii="Arial" w:cs="Arial" w:eastAsia="Arial" w:hAnsi="Arial"/>
                <w:sz w:val="22"/>
                <w:szCs w:val="22"/>
                <w:rtl/>
              </w:rPr>
              <w:t xml:space="preserve">)</w:t>
            </w:r>
          </w:p>
        </w:tc>
        <w:tc>
          <w:tcPr>
            <w:tcW w:type="dxa" w:w="6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תלות כלכלית במשרה, חובות והתחייבויות משפחתיות, היעדר חסכונות, יכולת תעסוקה נמוכה, מצב שוק העבודה, היקף רשת הביטחון הסוציאלי</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פגיעוּת פסיכולוגית (</w:t>
            </w:r>
            <w:r>
              <w:rPr>
                <w:rFonts w:ascii="Arial" w:cs="Arial" w:eastAsia="Arial" w:hAnsi="Arial"/>
                <w:sz w:val="22"/>
                <w:szCs w:val="22"/>
              </w:rPr>
              <w:t xml:space="preserve">‎Psychological Vulnerabilities‎</w:t>
            </w:r>
            <w:r>
              <w:rPr>
                <w:rFonts w:ascii="Arial" w:cs="Arial" w:eastAsia="Arial" w:hAnsi="Arial"/>
                <w:sz w:val="22"/>
                <w:szCs w:val="22"/>
                <w:rtl/>
              </w:rPr>
              <w:t xml:space="preserve">)</w:t>
            </w:r>
          </w:p>
        </w:tc>
        <w:tc>
          <w:tcPr>
            <w:tcW w:type="dxa" w:w="6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נוירוטיות, מסוגלות עצמית נמוכה, סגנון התמודדות נמנע, מרכזיות העבודה בזהות, עוגן קריירה של ביטחון ויציבות, היעדר תמיכה חברתית</w:t>
            </w:r>
          </w:p>
        </w:tc>
      </w:tr>
    </w:tbl>
    <w:p>
      <w:pPr>
        <w:spacing w:after="120"/>
      </w:pPr>
    </w:p>
    <w:p>
      <w:pPr>
        <w:bidi/>
        <w:spacing w:after="120" w:before="0" w:line="360"/>
        <w:jc w:val="both"/>
      </w:pPr>
      <w:r>
        <w:rPr>
          <w:rFonts w:ascii="Arial" w:cs="Arial" w:eastAsia="Arial" w:hAnsi="Arial"/>
          <w:sz w:val="24"/>
          <w:szCs w:val="24"/>
          <w:rtl/>
        </w:rPr>
        <w:t xml:space="preserve">המסר המעשי הוא שהתגובה לחוסר ביטחון אינה גזירת גורל: כאשר האיום נתפס כניתן לשליטה, כאשר לעובד יש "כרית" כלכלית ויכולת תעסוקה גבוהה, וכאשר הוא ניחן במסוגלות עצמית ובתמיכה חברתית – ההשפעות השליליות קטנות והסיכוי לתגובה פרואקטיבית גדל.</w:t>
      </w:r>
    </w:p>
    <w:p>
      <w:pPr>
        <w:pStyle w:val="Heading2"/>
        <w:bidi/>
        <w:spacing w:after="120" w:before="240"/>
        <w:jc w:val="right"/>
      </w:pPr>
      <w:r>
        <w:rPr>
          <w:rFonts w:ascii="Arial" w:cs="Arial" w:eastAsia="Arial" w:hAnsi="Arial"/>
          <w:b/>
          <w:bCs/>
          <w:color w:val="0E6E73"/>
          <w:sz w:val="28"/>
          <w:szCs w:val="28"/>
          <w:rtl/>
        </w:rPr>
        <w:t xml:space="preserve">2.6 האג'נדה למחקר עתידי</w:t>
      </w:r>
    </w:p>
    <w:p>
      <w:pPr>
        <w:bidi/>
        <w:spacing w:after="120" w:before="0" w:line="360"/>
        <w:jc w:val="both"/>
      </w:pPr>
      <w:r>
        <w:rPr>
          <w:rFonts w:ascii="Arial" w:cs="Arial" w:eastAsia="Arial" w:hAnsi="Arial"/>
          <w:sz w:val="24"/>
          <w:szCs w:val="24"/>
          <w:rtl/>
        </w:rPr>
        <w:t xml:space="preserve">בחלקו האחרון מציע המאמר כיווני מחקר: בחינת חוסר ביטחון כתהליך דינמי לאורך זמן (ולא כמדידה חד-פעמית), הבחנה בין איומים אובייקטיביים לסובייקטיביים, מחקר רב-רמתי (צוותים וארגונים שלמים החווים חוסר ביטחון), התייחסות לצורות העסקה חדשות שבהן חוסר ביטחון הוא מצב מתמשך ולא אירוע, ופיתוח התערבויות ארגוניות ואישיות המחזקות את המנגנון הפרואקטיבי.</w:t>
      </w:r>
    </w:p>
    <w:p>
      <w:pPr>
        <w:pStyle w:val="Heading1"/>
        <w:bidi/>
        <w:spacing w:after="200" w:before="360"/>
        <w:jc w:val="right"/>
      </w:pPr>
      <w:r>
        <w:rPr>
          <w:rFonts w:ascii="Arial" w:cs="Arial" w:eastAsia="Arial" w:hAnsi="Arial"/>
          <w:b/>
          <w:bCs/>
          <w:color w:val="1F3864"/>
          <w:sz w:val="32"/>
          <w:szCs w:val="32"/>
          <w:rtl/>
        </w:rPr>
        <w:t xml:space="preserve">פרק 3: ניתוח המאמר לפי מבנה, שיטה וממצאים</w:t>
      </w:r>
    </w:p>
    <w:p>
      <w:pPr>
        <w:pStyle w:val="Heading2"/>
        <w:bidi/>
        <w:spacing w:after="120" w:before="240"/>
        <w:jc w:val="right"/>
      </w:pPr>
      <w:r>
        <w:rPr>
          <w:rFonts w:ascii="Arial" w:cs="Arial" w:eastAsia="Arial" w:hAnsi="Arial"/>
          <w:b/>
          <w:bCs/>
          <w:color w:val="0E6E73"/>
          <w:sz w:val="28"/>
          <w:szCs w:val="28"/>
          <w:rtl/>
        </w:rPr>
        <w:t xml:space="preserve">3.1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חלק</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תוכן</w:t>
            </w:r>
          </w:p>
        </w:tc>
        <w:tc>
          <w:tcPr>
            <w:tcW w:type="dxa" w:w="2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פתיחה והצגת הבעיה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הרלוונטיות הגוברת של הנושא, פיצול הספרות ובלבול מושגי</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הצדקת הצורך בסקירה אינטגרטיבית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הגדרה ומיפוי מושגי</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הגדרה חדשה, הבחנה בין ממדים, ובין התופעה לגורמיה ותוצאותיה</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בהירות מושגית לחוקרים ולמנהלים</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גורמים ומנגנוני היווצרות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טיפולוגיה של גורמים ברמת מאקרו, ארגון ופרט ומוקדי איום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הסבר מדוע אותו אירוע מייצר תחושות שונות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מנגנוני תוצאה</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לחץ, חליפין חברתי, שימור משרה, התמודדות פרואקטיבית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הסבר לממצאים סותרים בספרות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משתנים ממתנים</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מאפייני האיום, פגיעות כלכלית ופסיכולוגית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בסיס להתערבויות ממוקדות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אג'נדה למחקר</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כיווני מחקר ושאלות פתוחות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הכוונת התחום קדימה</w:t>
            </w:r>
          </w:p>
        </w:tc>
      </w:tr>
    </w:tbl>
    <w:p>
      <w:pPr>
        <w:spacing w:after="120"/>
      </w:pPr>
    </w:p>
    <w:p>
      <w:pPr>
        <w:pStyle w:val="Heading2"/>
        <w:bidi/>
        <w:spacing w:after="120" w:before="240"/>
        <w:jc w:val="right"/>
      </w:pPr>
      <w:r>
        <w:rPr>
          <w:rFonts w:ascii="Arial" w:cs="Arial" w:eastAsia="Arial" w:hAnsi="Arial"/>
          <w:b/>
          <w:bCs/>
          <w:color w:val="0E6E73"/>
          <w:sz w:val="28"/>
          <w:szCs w:val="28"/>
          <w:rtl/>
        </w:rPr>
        <w:t xml:space="preserve">3.2 השיטה</w:t>
      </w:r>
    </w:p>
    <w:p>
      <w:pPr>
        <w:bidi/>
        <w:spacing w:after="120" w:before="0" w:line="360"/>
        <w:jc w:val="both"/>
      </w:pPr>
      <w:r>
        <w:rPr>
          <w:rFonts w:ascii="Arial" w:cs="Arial" w:eastAsia="Arial" w:hAnsi="Arial"/>
          <w:sz w:val="24"/>
          <w:szCs w:val="24"/>
          <w:rtl/>
        </w:rPr>
        <w:t xml:space="preserve">המאמר אינו מחקר אמפירי אלא </w:t>
      </w:r>
      <w:r>
        <w:rPr>
          <w:rFonts w:ascii="Arial" w:cs="Arial" w:eastAsia="Arial" w:hAnsi="Arial"/>
          <w:b/>
          <w:bCs/>
          <w:sz w:val="24"/>
          <w:szCs w:val="24"/>
          <w:rtl/>
        </w:rPr>
        <w:t xml:space="preserve">סקירה אינטגרטיבית</w:t>
      </w:r>
      <w:r>
        <w:rPr>
          <w:rFonts w:ascii="Arial" w:cs="Arial" w:eastAsia="Arial" w:hAnsi="Arial"/>
          <w:sz w:val="24"/>
          <w:szCs w:val="24"/>
          <w:rtl/>
        </w:rPr>
        <w:t xml:space="preserve">: המחברת סוקרת ומסנתזת מחקרים תיאורטיים ואמפיריים ממגוון דיסציפלינות – ניהול, התנהגות ארגונית, פסיכולוגיה, סוציולוגיה וכלכלה – ובונה מהם מסגרת מושגית אחת. גישה זו שונה ממטא-אנליזה, שבה מאחדים סטטיסטית את תוצאות המחקרים, ושונה ממחקר ראשוני שבו אוספים נתונים חדשים.</w:t>
      </w:r>
    </w:p>
    <w:p>
      <w:pPr>
        <w:bidi/>
        <w:spacing w:after="120" w:before="0" w:line="360"/>
        <w:jc w:val="both"/>
      </w:pPr>
      <w:r>
        <w:rPr>
          <w:rFonts w:ascii="Arial" w:cs="Arial" w:eastAsia="Arial" w:hAnsi="Arial"/>
          <w:b/>
          <w:bCs/>
          <w:sz w:val="24"/>
          <w:szCs w:val="24"/>
          <w:rtl/>
        </w:rPr>
        <w:t xml:space="preserve">חוזקות השיטה:</w:t>
      </w:r>
      <w:r>
        <w:rPr>
          <w:rFonts w:ascii="Arial" w:cs="Arial" w:eastAsia="Arial" w:hAnsi="Arial"/>
          <w:sz w:val="24"/>
          <w:szCs w:val="24"/>
          <w:rtl/>
        </w:rPr>
        <w:t xml:space="preserve"> רוחב היריעה ויכולת לחבר בין ממצאים שנחקרו בנפרד; יצירת שפה משותפת; זיהוי סתירות ומתחים בספרות והצעת הסבר להם; ניסוח שאלות מחקר חדשות.</w:t>
      </w:r>
    </w:p>
    <w:p>
      <w:pPr>
        <w:bidi/>
        <w:spacing w:after="120" w:before="0" w:line="360"/>
        <w:jc w:val="both"/>
      </w:pPr>
      <w:r>
        <w:rPr>
          <w:rFonts w:ascii="Arial" w:cs="Arial" w:eastAsia="Arial" w:hAnsi="Arial"/>
          <w:b/>
          <w:bCs/>
          <w:sz w:val="24"/>
          <w:szCs w:val="24"/>
          <w:rtl/>
        </w:rPr>
        <w:t xml:space="preserve">מגבלות השיטה:</w:t>
      </w:r>
      <w:r>
        <w:rPr>
          <w:rFonts w:ascii="Arial" w:cs="Arial" w:eastAsia="Arial" w:hAnsi="Arial"/>
          <w:sz w:val="24"/>
          <w:szCs w:val="24"/>
          <w:rtl/>
        </w:rPr>
        <w:t xml:space="preserve"> הסקירה אינה מכמתת את עוצמת הקשרים ואינה מאפשרת לקבוע איזה מנגנון דומיננטי; קיים סיכון להטיה בבחירת המחקרים הנסקרים; רוב המחקרים שנסקרו הם מחקרי חתך המבוססים על דיווח עצמי, ולכן קשה להסיק סיבתיות; המסגרת נשענת בעיקר על מחקרים מארה"ב ומאירופה. כדי לגשר על מגבלות אלו נעזרנו בפרק 4 במטא-אנליזה כמותית ובסקירה בין-תרבותית.</w:t>
      </w:r>
    </w:p>
    <w:p>
      <w:pPr>
        <w:pStyle w:val="Heading2"/>
        <w:bidi/>
        <w:spacing w:after="120" w:before="240"/>
        <w:jc w:val="right"/>
      </w:pPr>
      <w:r>
        <w:rPr>
          <w:rFonts w:ascii="Arial" w:cs="Arial" w:eastAsia="Arial" w:hAnsi="Arial"/>
          <w:b/>
          <w:bCs/>
          <w:color w:val="0E6E73"/>
          <w:sz w:val="28"/>
          <w:szCs w:val="28"/>
          <w:rtl/>
        </w:rPr>
        <w:t xml:space="preserve">3.3 הממצאים והמסקנות המרכזיות</w:t>
      </w:r>
    </w:p>
    <w:p>
      <w:pPr>
        <w:pStyle w:val="ListParagraph"/>
        <w:numPr>
          <w:ilvl w:val="0"/>
          <w:numId w:val="4"/>
        </w:numPr>
        <w:bidi/>
        <w:spacing w:after="80" w:line="360"/>
        <w:jc w:val="both"/>
      </w:pPr>
      <w:r>
        <w:rPr>
          <w:rFonts w:ascii="Arial" w:cs="Arial" w:eastAsia="Arial" w:hAnsi="Arial"/>
          <w:sz w:val="24"/>
          <w:szCs w:val="24"/>
          <w:rtl/>
        </w:rPr>
        <w:t xml:space="preserve">חוסר ביטחון תעסוקתי הוא </w:t>
      </w:r>
      <w:r>
        <w:rPr>
          <w:rFonts w:ascii="Arial" w:cs="Arial" w:eastAsia="Arial" w:hAnsi="Arial"/>
          <w:b/>
          <w:bCs/>
          <w:sz w:val="24"/>
          <w:szCs w:val="24"/>
          <w:rtl/>
        </w:rPr>
        <w:t xml:space="preserve">תפיסה סובייקטיבית של איום עתידי</w:t>
      </w:r>
      <w:r>
        <w:rPr>
          <w:rFonts w:ascii="Arial" w:cs="Arial" w:eastAsia="Arial" w:hAnsi="Arial"/>
          <w:sz w:val="24"/>
          <w:szCs w:val="24"/>
          <w:rtl/>
        </w:rPr>
        <w:t xml:space="preserve">, ולכן ניתן להשפיע עליה גם ללא שינוי במצב האובייקטיבי – באמצעות מידע, תקשורת ופרשנות.</w:t>
      </w:r>
    </w:p>
    <w:p>
      <w:pPr>
        <w:pStyle w:val="ListParagraph"/>
        <w:numPr>
          <w:ilvl w:val="0"/>
          <w:numId w:val="4"/>
        </w:numPr>
        <w:bidi/>
        <w:spacing w:after="80" w:line="360"/>
        <w:jc w:val="both"/>
      </w:pPr>
      <w:r>
        <w:rPr>
          <w:rFonts w:ascii="Arial" w:cs="Arial" w:eastAsia="Arial" w:hAnsi="Arial"/>
          <w:sz w:val="24"/>
          <w:szCs w:val="24"/>
          <w:rtl/>
        </w:rPr>
        <w:t xml:space="preserve">התופעה היא </w:t>
      </w:r>
      <w:r>
        <w:rPr>
          <w:rFonts w:ascii="Arial" w:cs="Arial" w:eastAsia="Arial" w:hAnsi="Arial"/>
          <w:b/>
          <w:bCs/>
          <w:sz w:val="24"/>
          <w:szCs w:val="24"/>
          <w:rtl/>
        </w:rPr>
        <w:t xml:space="preserve">רב-ממדית</w:t>
      </w:r>
      <w:r>
        <w:rPr>
          <w:rFonts w:ascii="Arial" w:cs="Arial" w:eastAsia="Arial" w:hAnsi="Arial"/>
          <w:sz w:val="24"/>
          <w:szCs w:val="24"/>
          <w:rtl/>
        </w:rPr>
        <w:t xml:space="preserve">: כמותית ואיכותנית, קוגניטיבית ורגשית. התעלמות מהממד האיכותני מחמיצה חלק גדול מן החוויה בעידן של שינוי טכנולוגי.</w:t>
      </w:r>
    </w:p>
    <w:p>
      <w:pPr>
        <w:pStyle w:val="ListParagraph"/>
        <w:numPr>
          <w:ilvl w:val="0"/>
          <w:numId w:val="4"/>
        </w:numPr>
        <w:bidi/>
        <w:spacing w:after="80" w:line="360"/>
        <w:jc w:val="both"/>
      </w:pPr>
      <w:r>
        <w:rPr>
          <w:rFonts w:ascii="Arial" w:cs="Arial" w:eastAsia="Arial" w:hAnsi="Arial"/>
          <w:sz w:val="24"/>
          <w:szCs w:val="24"/>
          <w:rtl/>
        </w:rPr>
        <w:t xml:space="preserve">הקשר בין חוסר ביטחון לתוצאות עובר דרך </w:t>
      </w:r>
      <w:r>
        <w:rPr>
          <w:rFonts w:ascii="Arial" w:cs="Arial" w:eastAsia="Arial" w:hAnsi="Arial"/>
          <w:b/>
          <w:bCs/>
          <w:sz w:val="24"/>
          <w:szCs w:val="24"/>
          <w:rtl/>
        </w:rPr>
        <w:t xml:space="preserve">ארבעה מנגנונים מקבילים</w:t>
      </w:r>
      <w:r>
        <w:rPr>
          <w:rFonts w:ascii="Arial" w:cs="Arial" w:eastAsia="Arial" w:hAnsi="Arial"/>
          <w:sz w:val="24"/>
          <w:szCs w:val="24"/>
          <w:rtl/>
        </w:rPr>
        <w:t xml:space="preserve">, ובאותו עובד יכולים לפעול כמה מהם בו-זמנית.</w:t>
      </w:r>
    </w:p>
    <w:p>
      <w:pPr>
        <w:pStyle w:val="ListParagraph"/>
        <w:numPr>
          <w:ilvl w:val="0"/>
          <w:numId w:val="4"/>
        </w:numPr>
        <w:bidi/>
        <w:spacing w:after="80" w:line="360"/>
        <w:jc w:val="both"/>
      </w:pPr>
      <w:r>
        <w:rPr>
          <w:rFonts w:ascii="Arial" w:cs="Arial" w:eastAsia="Arial" w:hAnsi="Arial"/>
          <w:sz w:val="24"/>
          <w:szCs w:val="24"/>
          <w:rtl/>
        </w:rPr>
        <w:t xml:space="preserve">בסך הכול, חוסר ביטחון הוא בעיקר </w:t>
      </w:r>
      <w:r>
        <w:rPr>
          <w:rFonts w:ascii="Arial" w:cs="Arial" w:eastAsia="Arial" w:hAnsi="Arial"/>
          <w:b/>
          <w:bCs/>
          <w:sz w:val="24"/>
          <w:szCs w:val="24"/>
          <w:rtl/>
        </w:rPr>
        <w:t xml:space="preserve">גורם לחץ מעכב</w:t>
      </w:r>
      <w:r>
        <w:rPr>
          <w:rFonts w:ascii="Arial" w:cs="Arial" w:eastAsia="Arial" w:hAnsi="Arial"/>
          <w:sz w:val="24"/>
          <w:szCs w:val="24"/>
          <w:rtl/>
        </w:rPr>
        <w:t xml:space="preserve"> (</w:t>
      </w:r>
      <w:r>
        <w:rPr>
          <w:rFonts w:ascii="Arial" w:cs="Arial" w:eastAsia="Arial" w:hAnsi="Arial"/>
          <w:sz w:val="24"/>
          <w:szCs w:val="24"/>
        </w:rPr>
        <w:t xml:space="preserve">‎hindrance stressor‎</w:t>
      </w:r>
      <w:r>
        <w:rPr>
          <w:rFonts w:ascii="Arial" w:cs="Arial" w:eastAsia="Arial" w:hAnsi="Arial"/>
          <w:sz w:val="24"/>
          <w:szCs w:val="24"/>
          <w:rtl/>
        </w:rPr>
        <w:t xml:space="preserve">) הפוגע בבריאות, בעמדות ובביצועים לאורך זמן – אך בתנאים מסוימים הוא מדרבן פעולה פרואקטיבית.</w:t>
      </w:r>
    </w:p>
    <w:p>
      <w:pPr>
        <w:pStyle w:val="ListParagraph"/>
        <w:numPr>
          <w:ilvl w:val="0"/>
          <w:numId w:val="4"/>
        </w:numPr>
        <w:bidi/>
        <w:spacing w:after="80" w:line="360"/>
        <w:jc w:val="both"/>
      </w:pPr>
      <w:r>
        <w:rPr>
          <w:rFonts w:ascii="Arial" w:cs="Arial" w:eastAsia="Arial" w:hAnsi="Arial"/>
          <w:b/>
          <w:bCs/>
          <w:sz w:val="24"/>
          <w:szCs w:val="24"/>
          <w:rtl/>
        </w:rPr>
        <w:t xml:space="preserve">עוצמת התגובה תלויה במאפייני האיום ובפגיעוּת הכלכלית והפסיכולוגית</w:t>
      </w:r>
      <w:r>
        <w:rPr>
          <w:rFonts w:ascii="Arial" w:cs="Arial" w:eastAsia="Arial" w:hAnsi="Arial"/>
          <w:sz w:val="24"/>
          <w:szCs w:val="24"/>
          <w:rtl/>
        </w:rPr>
        <w:t xml:space="preserve"> של העובד – ומכאן שניתן לבנות "חוסן" מראש.</w:t>
      </w:r>
    </w:p>
    <w:p>
      <w:pPr>
        <w:pStyle w:val="Heading1"/>
        <w:bidi/>
        <w:spacing w:after="200" w:before="360"/>
        <w:jc w:val="right"/>
      </w:pPr>
      <w:r>
        <w:rPr>
          <w:rFonts w:ascii="Arial" w:cs="Arial" w:eastAsia="Arial" w:hAnsi="Arial"/>
          <w:b/>
          <w:bCs/>
          <w:color w:val="1F3864"/>
          <w:sz w:val="32"/>
          <w:szCs w:val="32"/>
          <w:rtl/>
        </w:rPr>
        <w:t xml:space="preserve">פרק 4: המאמר המשלים וראיות תומכות</w:t>
      </w:r>
    </w:p>
    <w:p>
      <w:pPr>
        <w:pStyle w:val="Heading2"/>
        <w:bidi/>
        <w:spacing w:after="120" w:before="240"/>
        <w:jc w:val="right"/>
      </w:pPr>
      <w:r>
        <w:rPr>
          <w:rFonts w:ascii="Arial" w:cs="Arial" w:eastAsia="Arial" w:hAnsi="Arial"/>
          <w:b/>
          <w:bCs/>
          <w:color w:val="0E6E73"/>
          <w:sz w:val="28"/>
          <w:szCs w:val="28"/>
          <w:rtl/>
        </w:rPr>
        <w:t xml:space="preserve">4.1 המאמר המשלים: </w:t>
      </w:r>
      <w:r>
        <w:rPr>
          <w:rFonts w:ascii="Arial" w:cs="Arial" w:eastAsia="Arial" w:hAnsi="Arial"/>
          <w:b/>
          <w:bCs/>
          <w:color w:val="0E6E73"/>
          <w:sz w:val="28"/>
          <w:szCs w:val="28"/>
        </w:rPr>
        <w:t xml:space="preserve">‎Lee, Huang &amp; Ashford (2018)‎</w:t>
      </w:r>
    </w:p>
    <w:p>
      <w:pPr>
        <w:bidi/>
        <w:spacing w:after="120" w:before="0" w:line="360"/>
        <w:jc w:val="both"/>
      </w:pPr>
      <w:r>
        <w:rPr>
          <w:rFonts w:ascii="Arial" w:cs="Arial" w:eastAsia="Arial" w:hAnsi="Arial"/>
          <w:sz w:val="24"/>
          <w:szCs w:val="24"/>
          <w:rtl/>
        </w:rPr>
        <w:t xml:space="preserve">המאמר "</w:t>
      </w:r>
      <w:r>
        <w:rPr>
          <w:rFonts w:ascii="Arial" w:cs="Arial" w:eastAsia="Arial" w:hAnsi="Arial"/>
          <w:sz w:val="24"/>
          <w:szCs w:val="24"/>
        </w:rPr>
        <w:t xml:space="preserve">‎Job Insecurity and the Changing Workplace: Recent Developments and the Future Trends in Job Insecurity Research‎</w:t>
      </w:r>
      <w:r>
        <w:rPr>
          <w:rFonts w:ascii="Arial" w:cs="Arial" w:eastAsia="Arial" w:hAnsi="Arial"/>
          <w:sz w:val="24"/>
          <w:szCs w:val="24"/>
          <w:rtl/>
        </w:rPr>
        <w:t xml:space="preserve">" פורסם ב-</w:t>
      </w:r>
      <w:r>
        <w:rPr>
          <w:rFonts w:ascii="Arial" w:cs="Arial" w:eastAsia="Arial" w:hAnsi="Arial"/>
          <w:sz w:val="24"/>
          <w:szCs w:val="24"/>
        </w:rPr>
        <w:t xml:space="preserve">‎Annual Review of Organizational Psychology and Organizational Behavior‎</w:t>
      </w:r>
      <w:r>
        <w:rPr>
          <w:rFonts w:ascii="Arial" w:cs="Arial" w:eastAsia="Arial" w:hAnsi="Arial"/>
          <w:sz w:val="24"/>
          <w:szCs w:val="24"/>
          <w:rtl/>
        </w:rPr>
        <w:t xml:space="preserve"> (כרך 5, עמ' 335–359), כתב עת המפרסם סקירות מוזמנות מאת חוקרים מובילים בלבד. המחברים – </w:t>
      </w:r>
      <w:r>
        <w:rPr>
          <w:rFonts w:ascii="Arial" w:cs="Arial" w:eastAsia="Arial" w:hAnsi="Arial"/>
          <w:sz w:val="24"/>
          <w:szCs w:val="24"/>
        </w:rPr>
        <w:t xml:space="preserve">‎Cynthia Lee‎</w:t>
      </w:r>
      <w:r>
        <w:rPr>
          <w:rFonts w:ascii="Arial" w:cs="Arial" w:eastAsia="Arial" w:hAnsi="Arial"/>
          <w:sz w:val="24"/>
          <w:szCs w:val="24"/>
          <w:rtl/>
        </w:rPr>
        <w:t xml:space="preserve"> (אוניברסיטת נורת'איסטרן), </w:t>
      </w:r>
      <w:r>
        <w:rPr>
          <w:rFonts w:ascii="Arial" w:cs="Arial" w:eastAsia="Arial" w:hAnsi="Arial"/>
          <w:sz w:val="24"/>
          <w:szCs w:val="24"/>
        </w:rPr>
        <w:t xml:space="preserve">‎Guo-Hua Huang‎</w:t>
      </w:r>
      <w:r>
        <w:rPr>
          <w:rFonts w:ascii="Arial" w:cs="Arial" w:eastAsia="Arial" w:hAnsi="Arial"/>
          <w:sz w:val="24"/>
          <w:szCs w:val="24"/>
          <w:rtl/>
        </w:rPr>
        <w:t xml:space="preserve"> (האוניברסיטה הבפטיסטית של הונג קונג) ו-</w:t>
      </w:r>
      <w:r>
        <w:rPr>
          <w:rFonts w:ascii="Arial" w:cs="Arial" w:eastAsia="Arial" w:hAnsi="Arial"/>
          <w:sz w:val="24"/>
          <w:szCs w:val="24"/>
        </w:rPr>
        <w:t xml:space="preserve">‎Susan J. Ashford‎</w:t>
      </w:r>
      <w:r>
        <w:rPr>
          <w:rFonts w:ascii="Arial" w:cs="Arial" w:eastAsia="Arial" w:hAnsi="Arial"/>
          <w:sz w:val="24"/>
          <w:szCs w:val="24"/>
          <w:rtl/>
        </w:rPr>
        <w:t xml:space="preserve"> (אוניברסיטת מישיגן) – נמנים עם החוקרים הבולטים בתחום. </w:t>
      </w:r>
      <w:r>
        <w:rPr>
          <w:rFonts w:ascii="Arial" w:cs="Arial" w:eastAsia="Arial" w:hAnsi="Arial"/>
          <w:sz w:val="24"/>
          <w:szCs w:val="24"/>
        </w:rPr>
        <w:t xml:space="preserve">‎Ashford‎</w:t>
      </w:r>
      <w:r>
        <w:rPr>
          <w:rFonts w:ascii="Arial" w:cs="Arial" w:eastAsia="Arial" w:hAnsi="Arial"/>
          <w:sz w:val="24"/>
          <w:szCs w:val="24"/>
          <w:rtl/>
        </w:rPr>
        <w:t xml:space="preserve"> היא ממחברות אחד המחקרים המכוננים על מדידת חוסר ביטחון תעסוקתי משנת 1989.</w:t>
      </w:r>
    </w:p>
    <w:p>
      <w:pPr>
        <w:bidi/>
        <w:spacing w:after="120" w:before="0" w:line="360"/>
        <w:jc w:val="both"/>
      </w:pPr>
      <w:r>
        <w:rPr>
          <w:rFonts w:ascii="Arial" w:cs="Arial" w:eastAsia="Arial" w:hAnsi="Arial"/>
          <w:b/>
          <w:bCs/>
          <w:sz w:val="24"/>
          <w:szCs w:val="24"/>
          <w:rtl/>
        </w:rPr>
        <w:t xml:space="preserve">מטרת המאמר</w:t>
      </w:r>
      <w:r>
        <w:rPr>
          <w:rFonts w:ascii="Arial" w:cs="Arial" w:eastAsia="Arial" w:hAnsi="Arial"/>
          <w:sz w:val="24"/>
          <w:szCs w:val="24"/>
          <w:rtl/>
        </w:rPr>
        <w:t xml:space="preserve"> היא לעדכן את הידע בתחום לאור מחקרים שנערכו ברחבי העולם מאז 2003. המאמר סוקר את ההמשגה והמדידה של חוסר ביטחון תעסוקתי, את הגורמים לו, את תוצאותיו ואת המשתנים הממתנים, וכן את הפרספקטיבות התיאורטיות המסבירות את הקשרים בין חוסר ביטחון לתוצאותיו. ייחודו בשני היבטים: ראשית, הוא בוחן את התופעה </w:t>
      </w:r>
      <w:r>
        <w:rPr>
          <w:rFonts w:ascii="Arial" w:cs="Arial" w:eastAsia="Arial" w:hAnsi="Arial"/>
          <w:b/>
          <w:bCs/>
          <w:sz w:val="24"/>
          <w:szCs w:val="24"/>
          <w:rtl/>
        </w:rPr>
        <w:t xml:space="preserve">בהשוואה בין אזורים ותרבויות</w:t>
      </w:r>
      <w:r>
        <w:rPr>
          <w:rFonts w:ascii="Arial" w:cs="Arial" w:eastAsia="Arial" w:hAnsi="Arial"/>
          <w:sz w:val="24"/>
          <w:szCs w:val="24"/>
          <w:rtl/>
        </w:rPr>
        <w:t xml:space="preserve">, ומראה כי עוצמת ההשלכות משתנה בין מדינות – בין היתר בהתאם לרשת הביטחון הסוציאלי, לנורמות תרבותיות ולמידת הקולקטיביזם. שנית, הוא ממקם את התופעה ב</w:t>
      </w:r>
      <w:r>
        <w:rPr>
          <w:rFonts w:ascii="Arial" w:cs="Arial" w:eastAsia="Arial" w:hAnsi="Arial"/>
          <w:b/>
          <w:bCs/>
          <w:sz w:val="24"/>
          <w:szCs w:val="24"/>
          <w:rtl/>
        </w:rPr>
        <w:t xml:space="preserve">עולם העבודה המשתנה</w:t>
      </w:r>
      <w:r>
        <w:rPr>
          <w:rFonts w:ascii="Arial" w:cs="Arial" w:eastAsia="Arial" w:hAnsi="Arial"/>
          <w:sz w:val="24"/>
          <w:szCs w:val="24"/>
          <w:rtl/>
        </w:rPr>
        <w:t xml:space="preserve">: כלכלת הגיג, העסקה זמנית וטכנולוגיה הופכות את חוסר הביטחון ממצב חריג וזמני למצב כרוני, ומכאן הצורך בכלי מחקר וניהול חדשים.</w:t>
      </w:r>
    </w:p>
    <w:p>
      <w:pPr>
        <w:bidi/>
        <w:spacing w:after="120" w:before="0" w:line="360"/>
        <w:jc w:val="both"/>
      </w:pPr>
      <w:r>
        <w:rPr>
          <w:rFonts w:ascii="Arial" w:cs="Arial" w:eastAsia="Arial" w:hAnsi="Arial"/>
          <w:b/>
          <w:bCs/>
          <w:sz w:val="24"/>
          <w:szCs w:val="24"/>
          <w:rtl/>
        </w:rPr>
        <w:t xml:space="preserve">הקשר בין שני המאמרים:</w:t>
      </w:r>
      <w:r>
        <w:rPr>
          <w:rFonts w:ascii="Arial" w:cs="Arial" w:eastAsia="Arial" w:hAnsi="Arial"/>
          <w:sz w:val="24"/>
          <w:szCs w:val="24"/>
          <w:rtl/>
        </w:rPr>
        <w:t xml:space="preserve"> </w:t>
      </w:r>
      <w:r>
        <w:rPr>
          <w:rFonts w:ascii="Arial" w:cs="Arial" w:eastAsia="Arial" w:hAnsi="Arial"/>
          <w:sz w:val="24"/>
          <w:szCs w:val="24"/>
        </w:rPr>
        <w:t xml:space="preserve">‎Shoss‎</w:t>
      </w:r>
      <w:r>
        <w:rPr>
          <w:rFonts w:ascii="Arial" w:cs="Arial" w:eastAsia="Arial" w:hAnsi="Arial"/>
          <w:sz w:val="24"/>
          <w:szCs w:val="24"/>
          <w:rtl/>
        </w:rPr>
        <w:t xml:space="preserve"> מספקת את ה"שלד" התיאורטי – הגדרה, מנגנונים ומשתנים ממתנים; </w:t>
      </w:r>
      <w:r>
        <w:rPr>
          <w:rFonts w:ascii="Arial" w:cs="Arial" w:eastAsia="Arial" w:hAnsi="Arial"/>
          <w:sz w:val="24"/>
          <w:szCs w:val="24"/>
        </w:rPr>
        <w:t xml:space="preserve">‎Lee‎</w:t>
      </w:r>
      <w:r>
        <w:rPr>
          <w:rFonts w:ascii="Arial" w:cs="Arial" w:eastAsia="Arial" w:hAnsi="Arial"/>
          <w:sz w:val="24"/>
          <w:szCs w:val="24"/>
          <w:rtl/>
        </w:rPr>
        <w:t xml:space="preserve"> ועמיתיה מוסיפות את ה"בשר" האמפירי והבין-תרבותי ואת ההקשר של עולם העבודה החדש. יחד הם מאפשרים תמונה מלאה: מה התופעה, כיצד היא פועלת, ומדוע היא רלוונטית במיוחד לדור שלנו.</w:t>
      </w:r>
    </w:p>
    <w:p>
      <w:pPr>
        <w:pStyle w:val="Heading2"/>
        <w:bidi/>
        <w:spacing w:after="120" w:before="240"/>
        <w:jc w:val="right"/>
      </w:pPr>
      <w:r>
        <w:rPr>
          <w:rFonts w:ascii="Arial" w:cs="Arial" w:eastAsia="Arial" w:hAnsi="Arial"/>
          <w:b/>
          <w:bCs/>
          <w:color w:val="0E6E73"/>
          <w:sz w:val="28"/>
          <w:szCs w:val="28"/>
          <w:rtl/>
        </w:rPr>
        <w:t xml:space="preserve">4.2 ראיה כמותית תומכת: </w:t>
      </w:r>
      <w:r>
        <w:rPr>
          <w:rFonts w:ascii="Arial" w:cs="Arial" w:eastAsia="Arial" w:hAnsi="Arial"/>
          <w:b/>
          <w:bCs/>
          <w:color w:val="0E6E73"/>
          <w:sz w:val="28"/>
          <w:szCs w:val="28"/>
        </w:rPr>
        <w:t xml:space="preserve">‎Jiang &amp; Lavaysse (2018)‎</w:t>
      </w:r>
    </w:p>
    <w:p>
      <w:pPr>
        <w:bidi/>
        <w:spacing w:after="120" w:before="0" w:line="360"/>
        <w:jc w:val="both"/>
      </w:pPr>
      <w:r>
        <w:rPr>
          <w:rFonts w:ascii="Arial" w:cs="Arial" w:eastAsia="Arial" w:hAnsi="Arial"/>
          <w:sz w:val="24"/>
          <w:szCs w:val="24"/>
          <w:rtl/>
        </w:rPr>
        <w:t xml:space="preserve">המטא-אנליזה של </w:t>
      </w:r>
      <w:r>
        <w:rPr>
          <w:rFonts w:ascii="Arial" w:cs="Arial" w:eastAsia="Arial" w:hAnsi="Arial"/>
          <w:sz w:val="24"/>
          <w:szCs w:val="24"/>
        </w:rPr>
        <w:t xml:space="preserve">‎Jiang &amp; Lavaysse (2018)‎</w:t>
      </w:r>
      <w:r>
        <w:rPr>
          <w:rFonts w:ascii="Arial" w:cs="Arial" w:eastAsia="Arial" w:hAnsi="Arial"/>
          <w:sz w:val="24"/>
          <w:szCs w:val="24"/>
          <w:rtl/>
        </w:rPr>
        <w:t xml:space="preserve">, שפורסמה אף היא ב-</w:t>
      </w:r>
      <w:r>
        <w:rPr>
          <w:rFonts w:ascii="Arial" w:cs="Arial" w:eastAsia="Arial" w:hAnsi="Arial"/>
          <w:sz w:val="24"/>
          <w:szCs w:val="24"/>
        </w:rPr>
        <w:t xml:space="preserve">‎Journal of Management‎</w:t>
      </w:r>
      <w:r>
        <w:rPr>
          <w:rFonts w:ascii="Arial" w:cs="Arial" w:eastAsia="Arial" w:hAnsi="Arial"/>
          <w:sz w:val="24"/>
          <w:szCs w:val="24"/>
          <w:rtl/>
        </w:rPr>
        <w:t xml:space="preserve">, איחדה נתונים מ-535 מדגמים בלתי תלויים ובחנה 56 תוצאות ומתאמים. הממצאים מחזקים את מסגרת </w:t>
      </w:r>
      <w:r>
        <w:rPr>
          <w:rFonts w:ascii="Arial" w:cs="Arial" w:eastAsia="Arial" w:hAnsi="Arial"/>
          <w:sz w:val="24"/>
          <w:szCs w:val="24"/>
        </w:rPr>
        <w:t xml:space="preserve">‎Shoss‎</w:t>
      </w:r>
      <w:r>
        <w:rPr>
          <w:rFonts w:ascii="Arial" w:cs="Arial" w:eastAsia="Arial" w:hAnsi="Arial"/>
          <w:sz w:val="24"/>
          <w:szCs w:val="24"/>
          <w:rtl/>
        </w:rPr>
        <w:t xml:space="preserve">: חוסר ביטחון תעסוקתי נמצא קשור באופן מובהק ל-51 מתוך 56 התוצאות; </w:t>
      </w:r>
      <w:r>
        <w:rPr>
          <w:rFonts w:ascii="Arial" w:cs="Arial" w:eastAsia="Arial" w:hAnsi="Arial"/>
          <w:b/>
          <w:bCs/>
          <w:sz w:val="24"/>
          <w:szCs w:val="24"/>
          <w:rtl/>
        </w:rPr>
        <w:t xml:space="preserve">הרכיב הרגשי</w:t>
      </w:r>
      <w:r>
        <w:rPr>
          <w:rFonts w:ascii="Arial" w:cs="Arial" w:eastAsia="Arial" w:hAnsi="Arial"/>
          <w:sz w:val="24"/>
          <w:szCs w:val="24"/>
          <w:rtl/>
        </w:rPr>
        <w:t xml:space="preserve"> (הדאגה) נמצא קשור בעוצמה חזקה יותר לרוב התוצאות מאשר הרכיב הקוגניטיבי (ההערכה); וברוב המקרים הרכיב הרגשי </w:t>
      </w:r>
      <w:r>
        <w:rPr>
          <w:rFonts w:ascii="Arial" w:cs="Arial" w:eastAsia="Arial" w:hAnsi="Arial"/>
          <w:b/>
          <w:bCs/>
          <w:sz w:val="24"/>
          <w:szCs w:val="24"/>
          <w:rtl/>
        </w:rPr>
        <w:t xml:space="preserve">תיווך</w:t>
      </w:r>
      <w:r>
        <w:rPr>
          <w:rFonts w:ascii="Arial" w:cs="Arial" w:eastAsia="Arial" w:hAnsi="Arial"/>
          <w:sz w:val="24"/>
          <w:szCs w:val="24"/>
          <w:rtl/>
        </w:rPr>
        <w:t xml:space="preserve"> את הקשר בין ההערכה הקוגניטיבית לבין התוצאות. במילים אחרות: לא עצם המחשבה "ייתכן שאפוטר" היא הפוגעת, אלא הדאגה שהיא מעוררת – וזהו בדיוק המקום שבו כלים של ויסות רגשי, תמיכה ומסגור מחדש יכולים לעזור.</w:t>
      </w:r>
    </w:p>
    <w:p>
      <w:pPr>
        <w:pStyle w:val="Heading1"/>
        <w:bidi/>
        <w:spacing w:after="200" w:before="360"/>
        <w:jc w:val="right"/>
      </w:pPr>
      <w:r>
        <w:rPr>
          <w:rFonts w:ascii="Arial" w:cs="Arial" w:eastAsia="Arial" w:hAnsi="Arial"/>
          <w:b/>
          <w:bCs/>
          <w:color w:val="1F3864"/>
          <w:sz w:val="32"/>
          <w:szCs w:val="32"/>
          <w:rtl/>
        </w:rPr>
        <w:t xml:space="preserve">פרק 5: תובנות, מסקנות ודעה אישית</w:t>
      </w:r>
    </w:p>
    <w:p>
      <w:pPr>
        <w:pStyle w:val="Heading2"/>
        <w:bidi/>
        <w:spacing w:after="120" w:before="240"/>
        <w:jc w:val="right"/>
      </w:pPr>
      <w:r>
        <w:rPr>
          <w:rFonts w:ascii="Arial" w:cs="Arial" w:eastAsia="Arial" w:hAnsi="Arial"/>
          <w:b/>
          <w:bCs/>
          <w:color w:val="0E6E73"/>
          <w:sz w:val="28"/>
          <w:szCs w:val="28"/>
          <w:rtl/>
        </w:rPr>
        <w:t xml:space="preserve">5.1 תובנות מרכזיות</w:t>
      </w:r>
    </w:p>
    <w:p>
      <w:pPr>
        <w:pStyle w:val="ListParagraph"/>
        <w:numPr>
          <w:ilvl w:val="0"/>
          <w:numId w:val="6"/>
        </w:numPr>
        <w:bidi/>
        <w:spacing w:after="80" w:line="360"/>
        <w:jc w:val="both"/>
      </w:pPr>
      <w:r>
        <w:rPr>
          <w:rFonts w:ascii="Arial" w:cs="Arial" w:eastAsia="Arial" w:hAnsi="Arial"/>
          <w:b/>
          <w:bCs/>
          <w:sz w:val="24"/>
          <w:szCs w:val="24"/>
          <w:rtl/>
        </w:rPr>
        <w:t xml:space="preserve">חוסר ביטחון הוא פרשנות, לא רק עובדה.</w:t>
      </w:r>
      <w:r>
        <w:rPr>
          <w:rFonts w:ascii="Arial" w:cs="Arial" w:eastAsia="Arial" w:hAnsi="Arial"/>
          <w:sz w:val="24"/>
          <w:szCs w:val="24"/>
          <w:rtl/>
        </w:rPr>
        <w:t xml:space="preserve"> מכיוון שמדובר בתפיסה סובייקטיבית של איום, יש לנו מרחב השפעה: איסוף מידע אמין במקום שמועות, בחינה מציאותית של ההסתברות והחומרה, ומיקוד במה שבשליטתנו.</w:t>
      </w:r>
    </w:p>
    <w:p>
      <w:pPr>
        <w:pStyle w:val="ListParagraph"/>
        <w:numPr>
          <w:ilvl w:val="0"/>
          <w:numId w:val="6"/>
        </w:numPr>
        <w:bidi/>
        <w:spacing w:after="80" w:line="360"/>
        <w:jc w:val="both"/>
      </w:pPr>
      <w:r>
        <w:rPr>
          <w:rFonts w:ascii="Arial" w:cs="Arial" w:eastAsia="Arial" w:hAnsi="Arial"/>
          <w:b/>
          <w:bCs/>
          <w:sz w:val="24"/>
          <w:szCs w:val="24"/>
          <w:rtl/>
        </w:rPr>
        <w:t xml:space="preserve">האיום של 2026 הוא בעיקר איכותני.</w:t>
      </w:r>
      <w:r>
        <w:rPr>
          <w:rFonts w:ascii="Arial" w:cs="Arial" w:eastAsia="Arial" w:hAnsi="Arial"/>
          <w:sz w:val="24"/>
          <w:szCs w:val="24"/>
          <w:rtl/>
        </w:rPr>
        <w:t xml:space="preserve"> הבינה המלאכותית לא בהכרח "תיקח את המשרה", אך היא משנה את תוכנה. מי שמנהל קריירה צריך לשאול לא רק "האם אשמור על המשרה" אלא "האם המשרה שאשמור עליה עדיין תתאים לי".</w:t>
      </w:r>
    </w:p>
    <w:p>
      <w:pPr>
        <w:pStyle w:val="ListParagraph"/>
        <w:numPr>
          <w:ilvl w:val="0"/>
          <w:numId w:val="6"/>
        </w:numPr>
        <w:bidi/>
        <w:spacing w:after="80" w:line="360"/>
        <w:jc w:val="both"/>
      </w:pPr>
      <w:r>
        <w:rPr>
          <w:rFonts w:ascii="Arial" w:cs="Arial" w:eastAsia="Arial" w:hAnsi="Arial"/>
          <w:b/>
          <w:bCs/>
          <w:sz w:val="24"/>
          <w:szCs w:val="24"/>
          <w:rtl/>
        </w:rPr>
        <w:t xml:space="preserve">ארבעת המנגנונים מסבירים התנהגויות שנראות סותרות.</w:t>
      </w:r>
      <w:r>
        <w:rPr>
          <w:rFonts w:ascii="Arial" w:cs="Arial" w:eastAsia="Arial" w:hAnsi="Arial"/>
          <w:sz w:val="24"/>
          <w:szCs w:val="24"/>
          <w:rtl/>
        </w:rPr>
        <w:t xml:space="preserve"> עובד יכול להשקיע שעות נוספות כדי "לא לבלוט" ובמקביל לשלוח קורות חיים בסתר. ההבנה הזו חשובה למנהלים: מאמץ מוגבר בתקופת אי-ודאות אינו בהכרח סימן למחויבות, אלא לעיתים סימן לפחד.</w:t>
      </w:r>
    </w:p>
    <w:p>
      <w:pPr>
        <w:pStyle w:val="ListParagraph"/>
        <w:numPr>
          <w:ilvl w:val="0"/>
          <w:numId w:val="6"/>
        </w:numPr>
        <w:bidi/>
        <w:spacing w:after="80" w:line="360"/>
        <w:jc w:val="both"/>
      </w:pPr>
      <w:r>
        <w:rPr>
          <w:rFonts w:ascii="Arial" w:cs="Arial" w:eastAsia="Arial" w:hAnsi="Arial"/>
          <w:b/>
          <w:bCs/>
          <w:sz w:val="24"/>
          <w:szCs w:val="24"/>
          <w:rtl/>
        </w:rPr>
        <w:t xml:space="preserve">חוסן אפשר לבנות מראש.</w:t>
      </w:r>
      <w:r>
        <w:rPr>
          <w:rFonts w:ascii="Arial" w:cs="Arial" w:eastAsia="Arial" w:hAnsi="Arial"/>
          <w:sz w:val="24"/>
          <w:szCs w:val="24"/>
          <w:rtl/>
        </w:rPr>
        <w:t xml:space="preserve"> המשתנים הממתנים – כרית כלכלית, יכולת תעסוקה, מסוגלות עצמית, תמיכה חברתית – הם ברובם ניתנים לפיתוח. זהו הגשר בין המאמר לבין ניהול קריירה.</w:t>
      </w:r>
    </w:p>
    <w:p>
      <w:pPr>
        <w:pStyle w:val="ListParagraph"/>
        <w:numPr>
          <w:ilvl w:val="0"/>
          <w:numId w:val="6"/>
        </w:numPr>
        <w:bidi/>
        <w:spacing w:after="80" w:line="360"/>
        <w:jc w:val="both"/>
      </w:pPr>
      <w:r>
        <w:rPr>
          <w:rFonts w:ascii="Arial" w:cs="Arial" w:eastAsia="Arial" w:hAnsi="Arial"/>
          <w:b/>
          <w:bCs/>
          <w:sz w:val="24"/>
          <w:szCs w:val="24"/>
          <w:rtl/>
        </w:rPr>
        <w:t xml:space="preserve">הרגש הוא המנוף.</w:t>
      </w:r>
      <w:r>
        <w:rPr>
          <w:rFonts w:ascii="Arial" w:cs="Arial" w:eastAsia="Arial" w:hAnsi="Arial"/>
          <w:sz w:val="24"/>
          <w:szCs w:val="24"/>
          <w:rtl/>
        </w:rPr>
        <w:t xml:space="preserve"> לאור ממצאי המטא-אנליזה, עבודה על הרכיב הרגשי (דאגה) חשובה לא פחות מעבודה על המצב האובייקטיבי.</w:t>
      </w:r>
    </w:p>
    <w:p>
      <w:pPr>
        <w:pStyle w:val="Heading2"/>
        <w:bidi/>
        <w:spacing w:after="120" w:before="240"/>
        <w:jc w:val="right"/>
      </w:pPr>
      <w:r>
        <w:rPr>
          <w:rFonts w:ascii="Arial" w:cs="Arial" w:eastAsia="Arial" w:hAnsi="Arial"/>
          <w:b/>
          <w:bCs/>
          <w:color w:val="0E6E73"/>
          <w:sz w:val="28"/>
          <w:szCs w:val="28"/>
          <w:rtl/>
        </w:rPr>
        <w:t xml:space="preserve">5.2 מסקנות</w:t>
      </w:r>
    </w:p>
    <w:p>
      <w:pPr>
        <w:bidi/>
        <w:spacing w:after="120" w:before="0" w:line="360"/>
        <w:jc w:val="both"/>
      </w:pPr>
      <w:r>
        <w:rPr>
          <w:rFonts w:ascii="Arial" w:cs="Arial" w:eastAsia="Arial" w:hAnsi="Arial"/>
          <w:sz w:val="24"/>
          <w:szCs w:val="24"/>
          <w:rtl/>
        </w:rPr>
        <w:t xml:space="preserve">המסקנה המרכזית שלנו היא שבעולם שבו חוסר ודאות הוא ברירת המחדל, </w:t>
      </w:r>
      <w:r>
        <w:rPr>
          <w:rFonts w:ascii="Arial" w:cs="Arial" w:eastAsia="Arial" w:hAnsi="Arial"/>
          <w:b/>
          <w:bCs/>
          <w:sz w:val="24"/>
          <w:szCs w:val="24"/>
          <w:rtl/>
        </w:rPr>
        <w:t xml:space="preserve">ניהול קריירה טוב הוא בראש ובראשונה ניהול של משאבים</w:t>
      </w:r>
      <w:r>
        <w:rPr>
          <w:rFonts w:ascii="Arial" w:cs="Arial" w:eastAsia="Arial" w:hAnsi="Arial"/>
          <w:sz w:val="24"/>
          <w:szCs w:val="24"/>
          <w:rtl/>
        </w:rPr>
        <w:t xml:space="preserve"> – כלכליים, מקצועיים, חברתיים ופסיכולוגיים – שמאפשרים לבחור בתגובה הפרואקטיבית במקום להיגרר לתגובת הלחץ או לתגובת "שימור המשרה בכל מחיר". ברמה הארגונית, המסקנה היא שתקשורת שקופה, הוגנות בתהליכי שינוי והשקעה ביכולת התעסוקה של העובדים אינן "מותרות" אלא כלי ניהולי המפחית את הנזק של חוסר ביטחון – לעובד ולארגון כאחד.</w:t>
      </w:r>
    </w:p>
    <w:p>
      <w:pPr>
        <w:pStyle w:val="Heading2"/>
        <w:bidi/>
        <w:spacing w:after="120" w:before="240"/>
        <w:jc w:val="right"/>
      </w:pPr>
      <w:r>
        <w:rPr>
          <w:rFonts w:ascii="Arial" w:cs="Arial" w:eastAsia="Arial" w:hAnsi="Arial"/>
          <w:b/>
          <w:bCs/>
          <w:color w:val="0E6E73"/>
          <w:sz w:val="28"/>
          <w:szCs w:val="28"/>
          <w:rtl/>
        </w:rPr>
        <w:t xml:space="preserve">5.3 דעה אישית וביקורת</w:t>
      </w:r>
    </w:p>
    <w:p>
      <w:pPr>
        <w:bidi/>
        <w:spacing w:after="120" w:before="0" w:line="360"/>
        <w:jc w:val="both"/>
      </w:pPr>
      <w:r>
        <w:rPr>
          <w:rFonts w:ascii="Arial" w:cs="Arial" w:eastAsia="Arial" w:hAnsi="Arial"/>
          <w:b/>
          <w:bCs/>
          <w:sz w:val="24"/>
          <w:szCs w:val="24"/>
          <w:rtl/>
        </w:rPr>
        <w:t xml:space="preserve">מה אהבנו במאמר:</w:t>
      </w:r>
      <w:r>
        <w:rPr>
          <w:rFonts w:ascii="Arial" w:cs="Arial" w:eastAsia="Arial" w:hAnsi="Arial"/>
          <w:sz w:val="24"/>
          <w:szCs w:val="24"/>
          <w:rtl/>
        </w:rPr>
        <w:t xml:space="preserve"> הבהירות המושגית. לפני קריאת המאמר תפסנו "חוסר ביטחון תעסוקתי" כתחושה אחת אמורפית; המאמר פירק אותה לרכיבים שאפשר לעבוד איתם. במיוחד התחברנו לרעיון של ארבעת המנגנונים – הוא הסביר לנו התנהגויות שראינו במקומות עבודה שלנו ושל הורינו בתקופות של צמצומים. ההבחנה בין פגיעות כלכלית לפסיכולוגית נתנה לנו "רשימת מכולת" של דברים שאפשר לעשות כבר עכשיו, בתור סטודנטים.</w:t>
      </w:r>
    </w:p>
    <w:p>
      <w:pPr>
        <w:bidi/>
        <w:spacing w:after="120" w:before="0" w:line="360"/>
        <w:jc w:val="both"/>
      </w:pPr>
      <w:r>
        <w:rPr>
          <w:rFonts w:ascii="Arial" w:cs="Arial" w:eastAsia="Arial" w:hAnsi="Arial"/>
          <w:b/>
          <w:bCs/>
          <w:sz w:val="24"/>
          <w:szCs w:val="24"/>
          <w:rtl/>
        </w:rPr>
        <w:t xml:space="preserve">מה חסר לנו:</w:t>
      </w:r>
      <w:r>
        <w:rPr>
          <w:rFonts w:ascii="Arial" w:cs="Arial" w:eastAsia="Arial" w:hAnsi="Arial"/>
          <w:sz w:val="24"/>
          <w:szCs w:val="24"/>
          <w:rtl/>
        </w:rPr>
        <w:t xml:space="preserve"> ראשית, המאמר תיאורטי ואינו מציע התערבויות מעשיות – את "מה עושים עם זה" נאלצנו לבנות בעצמנו (פרק 6). שנית, המאמר נכתב לפני מגפת הקורונה ולפני פריצת הבינה המלאכותית היוצרת, ולכן חלק מהדוגמאות מיושנות, אם כי המסגרת עצמה מחזיקה מעמד היטב. שלישית, המאמר מתמקד באיום שמקורו בארגון ובשוק העבודה; המציאות הישראלית מוסיפה ממד שהמאמר אינו דן בו – חוסר ודאות שמקורו בסביבה הביטחונית, במילואים ממושכים ובמצב הכלכלי, המשפיע גם על עובדים שהארגון שלהם יציב לחלוטין. רביעית, המאמר נשען בעיקר על מחקרים מערביים; המאמר המשלים ממלא חלקית פער זה.</w:t>
      </w:r>
    </w:p>
    <w:p>
      <w:pPr>
        <w:bidi/>
        <w:spacing w:after="120" w:before="0" w:line="360"/>
        <w:jc w:val="both"/>
      </w:pPr>
      <w:r>
        <w:rPr>
          <w:rFonts w:ascii="Arial" w:cs="Arial" w:eastAsia="Arial" w:hAnsi="Arial"/>
          <w:b/>
          <w:bCs/>
          <w:sz w:val="24"/>
          <w:szCs w:val="24"/>
          <w:rtl/>
        </w:rPr>
        <w:t xml:space="preserve">עמדה אישית:</w:t>
      </w:r>
      <w:r>
        <w:rPr>
          <w:rFonts w:ascii="Arial" w:cs="Arial" w:eastAsia="Arial" w:hAnsi="Arial"/>
          <w:sz w:val="24"/>
          <w:szCs w:val="24"/>
          <w:rtl/>
        </w:rPr>
        <w:t xml:space="preserve"> אנו סבורים שהמאמר צודק בכך שחוסר ביטחון הוא ברובו גורם לחץ מזיק, אך בהתבסס על מה שלמדנו בקורס ("ממשבר להזדמנות") ועל התרבות הישראלית של אלתור והסתגלות, אנו מאמינים שמידה מסוימת של חוסר ודאות יכולה להיות מנוע לצמיחה – </w:t>
      </w:r>
      <w:r>
        <w:rPr>
          <w:rFonts w:ascii="Arial" w:cs="Arial" w:eastAsia="Arial" w:hAnsi="Arial"/>
          <w:b/>
          <w:bCs/>
          <w:sz w:val="24"/>
          <w:szCs w:val="24"/>
          <w:rtl/>
        </w:rPr>
        <w:t xml:space="preserve">בתנאי</w:t>
      </w:r>
      <w:r>
        <w:rPr>
          <w:rFonts w:ascii="Arial" w:cs="Arial" w:eastAsia="Arial" w:hAnsi="Arial"/>
          <w:sz w:val="24"/>
          <w:szCs w:val="24"/>
          <w:rtl/>
        </w:rPr>
        <w:t xml:space="preserve"> שקיימים המשאבים שהמאמר מתאר. ללא משאבים, חוסר ודאות משתק; עם משאבים, הוא מניע. לכן המסר שלנו לכיתה אינו "אל תפחדו", אלא "בנו את הכרית שתאפשר לכם לפעול".</w:t>
      </w:r>
    </w:p>
    <w:p>
      <w:pPr>
        <w:pStyle w:val="Heading1"/>
        <w:bidi/>
        <w:spacing w:after="200" w:before="360"/>
        <w:jc w:val="right"/>
      </w:pPr>
      <w:r>
        <w:rPr>
          <w:rFonts w:ascii="Arial" w:cs="Arial" w:eastAsia="Arial" w:hAnsi="Arial"/>
          <w:b/>
          <w:bCs/>
          <w:color w:val="1F3864"/>
          <w:sz w:val="32"/>
          <w:szCs w:val="32"/>
          <w:rtl/>
        </w:rPr>
        <w:t xml:space="preserve">פרק 6: יישום מעשי בניהול קריירה</w:t>
      </w:r>
    </w:p>
    <w:p>
      <w:pPr>
        <w:pStyle w:val="Heading2"/>
        <w:bidi/>
        <w:spacing w:after="120" w:before="240"/>
        <w:jc w:val="right"/>
      </w:pPr>
      <w:r>
        <w:rPr>
          <w:rFonts w:ascii="Arial" w:cs="Arial" w:eastAsia="Arial" w:hAnsi="Arial"/>
          <w:b/>
          <w:bCs/>
          <w:color w:val="0E6E73"/>
          <w:sz w:val="28"/>
          <w:szCs w:val="28"/>
          <w:rtl/>
        </w:rPr>
        <w:t xml:space="preserve">6.1 "מפת החוסן התעסוקתי" – כלי אישי הנגזר מהמאמר</w:t>
      </w:r>
    </w:p>
    <w:p>
      <w:pPr>
        <w:bidi/>
        <w:spacing w:after="120" w:before="0" w:line="360"/>
        <w:jc w:val="both"/>
      </w:pPr>
      <w:r>
        <w:rPr>
          <w:rFonts w:ascii="Arial" w:cs="Arial" w:eastAsia="Arial" w:hAnsi="Arial"/>
          <w:sz w:val="24"/>
          <w:szCs w:val="24"/>
          <w:rtl/>
        </w:rPr>
        <w:t xml:space="preserve">תרגמנו את מסגרת </w:t>
      </w:r>
      <w:r>
        <w:rPr>
          <w:rFonts w:ascii="Arial" w:cs="Arial" w:eastAsia="Arial" w:hAnsi="Arial"/>
          <w:sz w:val="24"/>
          <w:szCs w:val="24"/>
        </w:rPr>
        <w:t xml:space="preserve">‎Shoss‎</w:t>
      </w:r>
      <w:r>
        <w:rPr>
          <w:rFonts w:ascii="Arial" w:cs="Arial" w:eastAsia="Arial" w:hAnsi="Arial"/>
          <w:sz w:val="24"/>
          <w:szCs w:val="24"/>
          <w:rtl/>
        </w:rPr>
        <w:t xml:space="preserve"> לכלי עבודה אישי בן ארבעה שלבים, שכל סטודנט/ית בכיתה יכול למלא בעצמו. הרעיון: במקום לחכות שהאיום יגיע, לעבוד מראש על שלושת המשתנים הממתנים ולבחור במודע במנגנון הפרואקטיבי.</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שלב</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שאלות מנחות</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פעולות מומלצות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1. הערכת האיום (מאפייני האיום)</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מה ההסתברות הריאלית? מה החומרה? מתי? מה בשליטתי ומה לא?</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להחליף שמועות במידע: שיחה ישירה עם המנהל, מעקב אחר מצב החברה והענף, הבחנה בין איום כמותי לאיכותני</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2. הקטנת הפגיעוּת הכלכלית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כמה חודשים אוכל להחזיק מעמד ללא הכנסה? כמה קל לי למצוא עבודה דומה?</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קרן חירום של 3–6 חודשי הוצאות; פיתוח מקור הכנסה משלים; עדכון קורות חיים ופרופיל לינקדאין אחת לחצי שנה; שמירה על מיומנויות מבוקשות (כולל כלי </w:t>
            </w:r>
            <w:r>
              <w:rPr>
                <w:rFonts w:ascii="Arial" w:cs="Arial" w:eastAsia="Arial" w:hAnsi="Arial"/>
                <w:sz w:val="22"/>
                <w:szCs w:val="22"/>
              </w:rPr>
              <w:t xml:space="preserve">‎AI‎</w:t>
            </w:r>
            <w:r>
              <w:rPr>
                <w:rFonts w:ascii="Arial" w:cs="Arial" w:eastAsia="Arial" w:hAnsi="Arial"/>
                <w:sz w:val="22"/>
                <w:szCs w:val="22"/>
                <w:rtl/>
              </w:rPr>
              <w:t xml:space="preserve">)</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3. הקטנת הפגיעוּת הפסיכולוגית</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עד כמה הזהות שלי תלויה בתפקיד הנוכחי? למי אני יכול/ה לפנות? איך אני מגיב/ה ללחץ?</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בניית זהות מקצועית שאינה תלויה בארגון; רשת תמיכה (משפחה, חברים, מנטור); תרגול מסגור מחדש ("זה לא מגדיר אותי"); פעילות גופנית ושגרה</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4. בחירת מנגנון התגובה</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האם אני "מתכופף/ת" (שימור משרה) או פועל/ת (פרואקטיביות)?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להקצות זמן קבוע שבועי ללמידה ולנטוורקינג; להגדיר יעד למידה שנתי; לתכנן "תוכנית ב" עוד לפני שצריך אותה</w:t>
            </w:r>
          </w:p>
        </w:tc>
      </w:tr>
    </w:tbl>
    <w:p>
      <w:pPr>
        <w:spacing w:after="120"/>
      </w:pPr>
    </w:p>
    <w:p>
      <w:pPr>
        <w:pStyle w:val="Heading2"/>
        <w:bidi/>
        <w:spacing w:after="120" w:before="240"/>
        <w:jc w:val="right"/>
      </w:pPr>
      <w:r>
        <w:rPr>
          <w:rFonts w:ascii="Arial" w:cs="Arial" w:eastAsia="Arial" w:hAnsi="Arial"/>
          <w:b/>
          <w:bCs/>
          <w:color w:val="0E6E73"/>
          <w:sz w:val="28"/>
          <w:szCs w:val="28"/>
          <w:rtl/>
        </w:rPr>
        <w:t xml:space="preserve">6.2 קישור לכלים שנלמדו בקורס</w:t>
      </w:r>
    </w:p>
    <w:p>
      <w:pPr>
        <w:pStyle w:val="ListParagraph"/>
        <w:numPr>
          <w:ilvl w:val="0"/>
          <w:numId w:val="4"/>
        </w:numPr>
        <w:bidi/>
        <w:spacing w:after="80" w:line="360"/>
        <w:jc w:val="both"/>
      </w:pPr>
      <w:r>
        <w:rPr>
          <w:rFonts w:ascii="Arial" w:cs="Arial" w:eastAsia="Arial" w:hAnsi="Arial"/>
          <w:b/>
          <w:bCs/>
          <w:sz w:val="24"/>
          <w:szCs w:val="24"/>
          <w:rtl/>
        </w:rPr>
        <w:t xml:space="preserve">שלושת "סלי הכלים"</w:t>
      </w:r>
      <w:r>
        <w:rPr>
          <w:rFonts w:ascii="Arial" w:cs="Arial" w:eastAsia="Arial" w:hAnsi="Arial"/>
          <w:sz w:val="24"/>
          <w:szCs w:val="24"/>
          <w:rtl/>
        </w:rPr>
        <w:t xml:space="preserve"> (רשת אנשים, זהות מקצועית, התפתחות) הם בדיוק המשאבים הממתנים שהמאמר מתאר: רשת אנשים = תמיכה חברתית וגישה להזדמנויות; זהות מקצועית המנותקת מתפקיד או מארגון = הקטנת האיום האיכותני והפגיעות הפסיכולוגית; תוכנית למידה שנתית = יכולת תעסוקה.</w:t>
      </w:r>
    </w:p>
    <w:p>
      <w:pPr>
        <w:pStyle w:val="ListParagraph"/>
        <w:numPr>
          <w:ilvl w:val="0"/>
          <w:numId w:val="4"/>
        </w:numPr>
        <w:bidi/>
        <w:spacing w:after="80" w:line="360"/>
        <w:jc w:val="both"/>
      </w:pPr>
      <w:r>
        <w:rPr>
          <w:rFonts w:ascii="Arial" w:cs="Arial" w:eastAsia="Arial" w:hAnsi="Arial"/>
          <w:b/>
          <w:bCs/>
          <w:sz w:val="24"/>
          <w:szCs w:val="24"/>
          <w:rtl/>
        </w:rPr>
        <w:t xml:space="preserve">עוגני קריירה</w:t>
      </w:r>
      <w:r>
        <w:rPr>
          <w:rFonts w:ascii="Arial" w:cs="Arial" w:eastAsia="Arial" w:hAnsi="Arial"/>
          <w:sz w:val="24"/>
          <w:szCs w:val="24"/>
          <w:rtl/>
        </w:rPr>
        <w:t xml:space="preserve"> (</w:t>
      </w:r>
      <w:r>
        <w:rPr>
          <w:rFonts w:ascii="Arial" w:cs="Arial" w:eastAsia="Arial" w:hAnsi="Arial"/>
          <w:sz w:val="24"/>
          <w:szCs w:val="24"/>
        </w:rPr>
        <w:t xml:space="preserve">‎Schein, 1996‎</w:t>
      </w:r>
      <w:r>
        <w:rPr>
          <w:rFonts w:ascii="Arial" w:cs="Arial" w:eastAsia="Arial" w:hAnsi="Arial"/>
          <w:sz w:val="24"/>
          <w:szCs w:val="24"/>
          <w:rtl/>
        </w:rPr>
        <w:t xml:space="preserve">): מי שעוגן "ביטחון ויציבות" דומיננטי אצלו פגיע יותר לחוסר ביטחון, ועליו לשקול סביבות עבודה יציבות יותר – או להשקיע במודע בבניית ביטחון פנימי שאינו תלוי במעסיק.</w:t>
      </w:r>
    </w:p>
    <w:p>
      <w:pPr>
        <w:pStyle w:val="ListParagraph"/>
        <w:numPr>
          <w:ilvl w:val="0"/>
          <w:numId w:val="4"/>
        </w:numPr>
        <w:bidi/>
        <w:spacing w:after="80" w:line="360"/>
        <w:jc w:val="both"/>
      </w:pPr>
      <w:r>
        <w:rPr>
          <w:rFonts w:ascii="Arial" w:cs="Arial" w:eastAsia="Arial" w:hAnsi="Arial"/>
          <w:b/>
          <w:bCs/>
          <w:sz w:val="24"/>
          <w:szCs w:val="24"/>
          <w:rtl/>
        </w:rPr>
        <w:t xml:space="preserve">שלבי הקריירה של סופר</w:t>
      </w:r>
      <w:r>
        <w:rPr>
          <w:rFonts w:ascii="Arial" w:cs="Arial" w:eastAsia="Arial" w:hAnsi="Arial"/>
          <w:sz w:val="24"/>
          <w:szCs w:val="24"/>
          <w:rtl/>
        </w:rPr>
        <w:t xml:space="preserve"> (</w:t>
      </w:r>
      <w:r>
        <w:rPr>
          <w:rFonts w:ascii="Arial" w:cs="Arial" w:eastAsia="Arial" w:hAnsi="Arial"/>
          <w:sz w:val="24"/>
          <w:szCs w:val="24"/>
        </w:rPr>
        <w:t xml:space="preserve">‎Super, 1980‎</w:t>
      </w:r>
      <w:r>
        <w:rPr>
          <w:rFonts w:ascii="Arial" w:cs="Arial" w:eastAsia="Arial" w:hAnsi="Arial"/>
          <w:sz w:val="24"/>
          <w:szCs w:val="24"/>
          <w:rtl/>
        </w:rPr>
        <w:t xml:space="preserve">): רובנו בשלב החקירה/הביסוס, שבו חוסר ודאות טבעי; ההבנה הזו מקלה על הרכיב הרגשי.</w:t>
      </w:r>
    </w:p>
    <w:p>
      <w:pPr>
        <w:pStyle w:val="ListParagraph"/>
        <w:numPr>
          <w:ilvl w:val="0"/>
          <w:numId w:val="4"/>
        </w:numPr>
        <w:bidi/>
        <w:spacing w:after="80" w:line="360"/>
        <w:jc w:val="both"/>
      </w:pPr>
      <w:r>
        <w:rPr>
          <w:rFonts w:ascii="Arial" w:cs="Arial" w:eastAsia="Arial" w:hAnsi="Arial"/>
          <w:b/>
          <w:bCs/>
          <w:sz w:val="24"/>
          <w:szCs w:val="24"/>
          <w:rtl/>
        </w:rPr>
        <w:t xml:space="preserve">תמיכה במקום העבודה ובמשפחה</w:t>
      </w:r>
      <w:r>
        <w:rPr>
          <w:rFonts w:ascii="Arial" w:cs="Arial" w:eastAsia="Arial" w:hAnsi="Arial"/>
          <w:sz w:val="24"/>
          <w:szCs w:val="24"/>
          <w:rtl/>
        </w:rPr>
        <w:t xml:space="preserve"> (</w:t>
      </w:r>
      <w:r>
        <w:rPr>
          <w:rFonts w:ascii="Arial" w:cs="Arial" w:eastAsia="Arial" w:hAnsi="Arial"/>
          <w:sz w:val="24"/>
          <w:szCs w:val="24"/>
        </w:rPr>
        <w:t xml:space="preserve">‎Russo, Shteigman &amp; Carmeli, 2016‎</w:t>
      </w:r>
      <w:r>
        <w:rPr>
          <w:rFonts w:ascii="Arial" w:cs="Arial" w:eastAsia="Arial" w:hAnsi="Arial"/>
          <w:sz w:val="24"/>
          <w:szCs w:val="24"/>
          <w:rtl/>
        </w:rPr>
        <w:t xml:space="preserve">): ממאמר החובה בקורס למדנו שתמיכה משפרת זמינות פסיכולוגית ואנרגיה בעבודה – משאבים המגנים מפני השחיקה שחוסר ביטחון מייצר.</w:t>
      </w:r>
    </w:p>
    <w:p>
      <w:pPr>
        <w:pStyle w:val="ListParagraph"/>
        <w:numPr>
          <w:ilvl w:val="0"/>
          <w:numId w:val="4"/>
        </w:numPr>
        <w:bidi/>
        <w:spacing w:after="80" w:line="360"/>
        <w:jc w:val="both"/>
      </w:pPr>
      <w:r>
        <w:rPr>
          <w:rFonts w:ascii="Arial" w:cs="Arial" w:eastAsia="Arial" w:hAnsi="Arial"/>
          <w:b/>
          <w:bCs/>
          <w:sz w:val="24"/>
          <w:szCs w:val="24"/>
          <w:rtl/>
        </w:rPr>
        <w:t xml:space="preserve">"ממשבר להזדמנות"</w:t>
      </w:r>
      <w:r>
        <w:rPr>
          <w:rFonts w:ascii="Arial" w:cs="Arial" w:eastAsia="Arial" w:hAnsi="Arial"/>
          <w:sz w:val="24"/>
          <w:szCs w:val="24"/>
          <w:rtl/>
        </w:rPr>
        <w:t xml:space="preserve">: העיקרון של בניית תמונת מצב סדורה, שמירה על "מזומן" ומיקוד במה שבשליטתנו הוא יישום ישיר של ההתמודדות הפרואקטיבית.</w:t>
      </w:r>
    </w:p>
    <w:p>
      <w:pPr>
        <w:pStyle w:val="Heading2"/>
        <w:bidi/>
        <w:spacing w:after="120" w:before="240"/>
        <w:jc w:val="right"/>
      </w:pPr>
      <w:r>
        <w:rPr>
          <w:rFonts w:ascii="Arial" w:cs="Arial" w:eastAsia="Arial" w:hAnsi="Arial"/>
          <w:b/>
          <w:bCs/>
          <w:color w:val="0E6E73"/>
          <w:sz w:val="28"/>
          <w:szCs w:val="28"/>
          <w:rtl/>
        </w:rPr>
        <w:t xml:space="preserve">6.3 השלכות למנהלים בכיתה</w:t>
      </w:r>
    </w:p>
    <w:p>
      <w:pPr>
        <w:bidi/>
        <w:spacing w:after="120" w:before="0" w:line="360"/>
        <w:jc w:val="both"/>
      </w:pPr>
      <w:r>
        <w:rPr>
          <w:rFonts w:ascii="Arial" w:cs="Arial" w:eastAsia="Arial" w:hAnsi="Arial"/>
          <w:sz w:val="24"/>
          <w:szCs w:val="24"/>
          <w:rtl/>
        </w:rPr>
        <w:t xml:space="preserve">חלק מחברי הכיתה מנהלים עובדים או ינהלו בעתיד. מהמאמר נגזרות ארבע המלצות: (1) </w:t>
      </w:r>
      <w:r>
        <w:rPr>
          <w:rFonts w:ascii="Arial" w:cs="Arial" w:eastAsia="Arial" w:hAnsi="Arial"/>
          <w:b/>
          <w:bCs/>
          <w:sz w:val="24"/>
          <w:szCs w:val="24"/>
          <w:rtl/>
        </w:rPr>
        <w:t xml:space="preserve">תקשורת שקופה ומהירה</w:t>
      </w:r>
      <w:r>
        <w:rPr>
          <w:rFonts w:ascii="Arial" w:cs="Arial" w:eastAsia="Arial" w:hAnsi="Arial"/>
          <w:sz w:val="24"/>
          <w:szCs w:val="24"/>
          <w:rtl/>
        </w:rPr>
        <w:t xml:space="preserve"> – בהיעדר מידע, העובדים משלימים את התמונה בשמועות והאיום הנתפס גדל; (2) </w:t>
      </w:r>
      <w:r>
        <w:rPr>
          <w:rFonts w:ascii="Arial" w:cs="Arial" w:eastAsia="Arial" w:hAnsi="Arial"/>
          <w:b/>
          <w:bCs/>
          <w:sz w:val="24"/>
          <w:szCs w:val="24"/>
          <w:rtl/>
        </w:rPr>
        <w:t xml:space="preserve">הוגנות בתהליכי שינוי</w:t>
      </w:r>
      <w:r>
        <w:rPr>
          <w:rFonts w:ascii="Arial" w:cs="Arial" w:eastAsia="Arial" w:hAnsi="Arial"/>
          <w:sz w:val="24"/>
          <w:szCs w:val="24"/>
          <w:rtl/>
        </w:rPr>
        <w:t xml:space="preserve"> – צדק תהליכי מפחית את תחושת הפרת החוזה הפסיכולוגי; (3) </w:t>
      </w:r>
      <w:r>
        <w:rPr>
          <w:rFonts w:ascii="Arial" w:cs="Arial" w:eastAsia="Arial" w:hAnsi="Arial"/>
          <w:b/>
          <w:bCs/>
          <w:sz w:val="24"/>
          <w:szCs w:val="24"/>
          <w:rtl/>
        </w:rPr>
        <w:t xml:space="preserve">השקעה ביכולת התעסוקה של העובדים</w:t>
      </w:r>
      <w:r>
        <w:rPr>
          <w:rFonts w:ascii="Arial" w:cs="Arial" w:eastAsia="Arial" w:hAnsi="Arial"/>
          <w:sz w:val="24"/>
          <w:szCs w:val="24"/>
          <w:rtl/>
        </w:rPr>
        <w:t xml:space="preserve"> – בניגוד לאינטואיציה, עובד שמרגיש שיוכל למצוא עבודה בקלות חש בטוח יותר ומחויב יותר; (4) </w:t>
      </w:r>
      <w:r>
        <w:rPr>
          <w:rFonts w:ascii="Arial" w:cs="Arial" w:eastAsia="Arial" w:hAnsi="Arial"/>
          <w:b/>
          <w:bCs/>
          <w:sz w:val="24"/>
          <w:szCs w:val="24"/>
          <w:rtl/>
        </w:rPr>
        <w:t xml:space="preserve">תשומת לב ל"מתכופפים"</w:t>
      </w:r>
      <w:r>
        <w:rPr>
          <w:rFonts w:ascii="Arial" w:cs="Arial" w:eastAsia="Arial" w:hAnsi="Arial"/>
          <w:sz w:val="24"/>
          <w:szCs w:val="24"/>
          <w:rtl/>
        </w:rPr>
        <w:t xml:space="preserve"> – מאמץ מוגבר ושתיקה בתקופות אי-ודאות עשויים להסתיר מצוקה ולא מחויבות.</w:t>
      </w:r>
    </w:p>
    <w:p>
      <w:pPr>
        <w:pStyle w:val="Heading2"/>
        <w:bidi/>
        <w:spacing w:after="120" w:before="240"/>
        <w:jc w:val="right"/>
      </w:pPr>
      <w:r>
        <w:rPr>
          <w:rFonts w:ascii="Arial" w:cs="Arial" w:eastAsia="Arial" w:hAnsi="Arial"/>
          <w:b/>
          <w:bCs/>
          <w:color w:val="0E6E73"/>
          <w:sz w:val="28"/>
          <w:szCs w:val="28"/>
          <w:rtl/>
        </w:rPr>
        <w:t xml:space="preserve">6.4 האמצעים להמחשה ולהפעלה במצגת</w:t>
      </w:r>
    </w:p>
    <w:p>
      <w:pPr>
        <w:bidi/>
        <w:spacing w:after="120" w:before="0" w:line="360"/>
        <w:jc w:val="both"/>
      </w:pPr>
      <w:r>
        <w:rPr>
          <w:rFonts w:ascii="Arial" w:cs="Arial" w:eastAsia="Arial" w:hAnsi="Arial"/>
          <w:sz w:val="24"/>
          <w:szCs w:val="24"/>
          <w:rtl/>
        </w:rPr>
        <w:t xml:space="preserve">כנדרש בהנחיות, המצגת משלבת אמצעים ויזואליים ואינטראקטיביים. פירוט מלא ולוח זמנים מופיעים בנספח א. בתמצית: סקר פתיחה בזמן אמת ("עד כמה אתם בטוחים שתהיו באותו תפקיד בעוד שנתיים?"), כתבת עיתון מ-</w:t>
      </w:r>
      <w:r>
        <w:rPr>
          <w:rFonts w:ascii="Arial" w:cs="Arial" w:eastAsia="Arial" w:hAnsi="Arial"/>
          <w:sz w:val="24"/>
          <w:szCs w:val="24"/>
        </w:rPr>
        <w:t xml:space="preserve">‎TheMarker‎</w:t>
      </w:r>
      <w:r>
        <w:rPr>
          <w:rFonts w:ascii="Arial" w:cs="Arial" w:eastAsia="Arial" w:hAnsi="Arial"/>
          <w:sz w:val="24"/>
          <w:szCs w:val="24"/>
          <w:rtl/>
        </w:rPr>
        <w:t xml:space="preserve"> (יוני 2026) על אתגרי מנהלי ההייטק וההתייעלות באמצעות בינה מלאכותית לצד נתוני בנק ישראל, קטע וידאו מהרצאת </w:t>
      </w:r>
      <w:r>
        <w:rPr>
          <w:rFonts w:ascii="Arial" w:cs="Arial" w:eastAsia="Arial" w:hAnsi="Arial"/>
          <w:sz w:val="24"/>
          <w:szCs w:val="24"/>
        </w:rPr>
        <w:t xml:space="preserve">‎TED‎</w:t>
      </w:r>
      <w:r>
        <w:rPr>
          <w:rFonts w:ascii="Arial" w:cs="Arial" w:eastAsia="Arial" w:hAnsi="Arial"/>
          <w:sz w:val="24"/>
          <w:szCs w:val="24"/>
          <w:rtl/>
        </w:rPr>
        <w:t xml:space="preserve"> של חוקרת החוסן </w:t>
      </w:r>
      <w:r>
        <w:rPr>
          <w:rFonts w:ascii="Arial" w:cs="Arial" w:eastAsia="Arial" w:hAnsi="Arial"/>
          <w:sz w:val="24"/>
          <w:szCs w:val="24"/>
        </w:rPr>
        <w:t xml:space="preserve">‎Lucy Hone‎</w:t>
      </w:r>
      <w:r>
        <w:rPr>
          <w:rFonts w:ascii="Arial" w:cs="Arial" w:eastAsia="Arial" w:hAnsi="Arial"/>
          <w:sz w:val="24"/>
          <w:szCs w:val="24"/>
          <w:rtl/>
        </w:rPr>
        <w:t xml:space="preserve">, תרשים של מודל </w:t>
      </w:r>
      <w:r>
        <w:rPr>
          <w:rFonts w:ascii="Arial" w:cs="Arial" w:eastAsia="Arial" w:hAnsi="Arial"/>
          <w:sz w:val="24"/>
          <w:szCs w:val="24"/>
        </w:rPr>
        <w:t xml:space="preserve">‎Shoss‎</w:t>
      </w:r>
      <w:r>
        <w:rPr>
          <w:rFonts w:ascii="Arial" w:cs="Arial" w:eastAsia="Arial" w:hAnsi="Arial"/>
          <w:sz w:val="24"/>
          <w:szCs w:val="24"/>
          <w:rtl/>
        </w:rPr>
        <w:t xml:space="preserve">, טבלת "מפת החוסן" והפעלה קבוצתית קצרה עם כרטיסי תרחיש.</w:t>
      </w:r>
    </w:p>
    <w:p>
      <w:pPr>
        <w:pStyle w:val="Heading1"/>
        <w:bidi/>
        <w:spacing w:after="200" w:before="360"/>
        <w:jc w:val="right"/>
      </w:pPr>
      <w:r>
        <w:rPr>
          <w:rFonts w:ascii="Arial" w:cs="Arial" w:eastAsia="Arial" w:hAnsi="Arial"/>
          <w:b/>
          <w:bCs/>
          <w:color w:val="1F3864"/>
          <w:sz w:val="32"/>
          <w:szCs w:val="32"/>
          <w:rtl/>
        </w:rPr>
        <w:t xml:space="preserve">סיכום</w:t>
      </w:r>
    </w:p>
    <w:p>
      <w:pPr>
        <w:bidi/>
        <w:spacing w:after="120" w:before="0" w:line="360"/>
        <w:jc w:val="both"/>
      </w:pPr>
      <w:r>
        <w:rPr>
          <w:rFonts w:ascii="Arial" w:cs="Arial" w:eastAsia="Arial" w:hAnsi="Arial"/>
          <w:sz w:val="24"/>
          <w:szCs w:val="24"/>
          <w:rtl/>
        </w:rPr>
        <w:t xml:space="preserve">בעבודה זו בחנו את נושא ההתמודדות עם חוסר ודאות תעסוקתי דרך הסקירה האינטגרטיבית של </w:t>
      </w:r>
      <w:r>
        <w:rPr>
          <w:rFonts w:ascii="Arial" w:cs="Arial" w:eastAsia="Arial" w:hAnsi="Arial"/>
          <w:sz w:val="24"/>
          <w:szCs w:val="24"/>
        </w:rPr>
        <w:t xml:space="preserve">‎Shoss (2017)‎</w:t>
      </w:r>
      <w:r>
        <w:rPr>
          <w:rFonts w:ascii="Arial" w:cs="Arial" w:eastAsia="Arial" w:hAnsi="Arial"/>
          <w:sz w:val="24"/>
          <w:szCs w:val="24"/>
          <w:rtl/>
        </w:rPr>
        <w:t xml:space="preserve">, בתוספת הסקירה הבין-תרבותית של </w:t>
      </w:r>
      <w:r>
        <w:rPr>
          <w:rFonts w:ascii="Arial" w:cs="Arial" w:eastAsia="Arial" w:hAnsi="Arial"/>
          <w:sz w:val="24"/>
          <w:szCs w:val="24"/>
        </w:rPr>
        <w:t xml:space="preserve">‎Lee, Huang &amp; Ashford (2018)‎</w:t>
      </w:r>
      <w:r>
        <w:rPr>
          <w:rFonts w:ascii="Arial" w:cs="Arial" w:eastAsia="Arial" w:hAnsi="Arial"/>
          <w:sz w:val="24"/>
          <w:szCs w:val="24"/>
          <w:rtl/>
        </w:rPr>
        <w:t xml:space="preserve"> והמטא-אנליזה של </w:t>
      </w:r>
      <w:r>
        <w:rPr>
          <w:rFonts w:ascii="Arial" w:cs="Arial" w:eastAsia="Arial" w:hAnsi="Arial"/>
          <w:sz w:val="24"/>
          <w:szCs w:val="24"/>
        </w:rPr>
        <w:t xml:space="preserve">‎Jiang &amp; Lavaysse (2018)‎</w:t>
      </w:r>
      <w:r>
        <w:rPr>
          <w:rFonts w:ascii="Arial" w:cs="Arial" w:eastAsia="Arial" w:hAnsi="Arial"/>
          <w:sz w:val="24"/>
          <w:szCs w:val="24"/>
          <w:rtl/>
        </w:rPr>
        <w:t xml:space="preserve">. למדנו שחוסר ביטחון תעסוקתי הוא איום נתפס, רב-ממדי, הפועל דרך ארבעה מנגנונים ושעוצמתו תלויה במאפייני האיום ובפגיעוּת הכלכלית והפסיכולוגית של העובד. מכאן גזרנו כלי מעשי – "מפת החוסן התעסוקתי" – המחבר את המאמר לכלים שנלמדו בקורס ומאפשר לכל אחד מאיתנו להתכונן מראש לעולם עבודה שבו הוודאות היחידה היא חוסר הוודאות. המסר שנרצה להשאיר לכיתה: את האיום לא תמיד אפשר למנוע, אבל את הכרית שתאפשר לנו לפעול – אפשר ואפשר לבנות.</w:t>
      </w:r>
    </w:p>
    <w:p>
      <w:r>
        <w:br w:type="page"/>
      </w:r>
    </w:p>
    <w:p>
      <w:pPr>
        <w:pStyle w:val="Heading1"/>
        <w:bidi/>
        <w:spacing w:after="200" w:before="360"/>
        <w:jc w:val="right"/>
      </w:pPr>
      <w:r>
        <w:rPr>
          <w:rFonts w:ascii="Arial" w:cs="Arial" w:eastAsia="Arial" w:hAnsi="Arial"/>
          <w:b/>
          <w:bCs/>
          <w:color w:val="1F3864"/>
          <w:sz w:val="32"/>
          <w:szCs w:val="32"/>
          <w:rtl/>
        </w:rPr>
        <w:t xml:space="preserve">נספח א: תכנון המצגת והאמצעים להמחשה</w:t>
      </w:r>
    </w:p>
    <w:p>
      <w:pPr>
        <w:bidi/>
        <w:spacing w:after="120" w:before="0" w:line="360"/>
        <w:jc w:val="both"/>
      </w:pPr>
      <w:r>
        <w:rPr>
          <w:rFonts w:ascii="Arial" w:cs="Arial" w:eastAsia="Arial" w:hAnsi="Arial"/>
          <w:sz w:val="24"/>
          <w:szCs w:val="24"/>
          <w:rtl/>
        </w:rPr>
        <w:t xml:space="preserve">משך ההצגה: עד 10 דקות (בזוג) / עד 15 דקות (בשלשה). התכנון להלן מבוסס על 10 דקות; בהגשה בשלשה מתווספות כ-4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זמן</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תוכן</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שער ופתיחה: "מי כאן בטוח שיהיה באותו תפקיד בעוד שנתיים?"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סקר </w:t>
            </w:r>
            <w:r>
              <w:rPr>
                <w:rFonts w:ascii="Arial" w:cs="Arial" w:eastAsia="Arial" w:hAnsi="Arial"/>
                <w:sz w:val="22"/>
                <w:szCs w:val="22"/>
              </w:rPr>
              <w:t xml:space="preserve">‎Mentimeter/Kahoot‎</w:t>
            </w:r>
            <w:r>
              <w:rPr>
                <w:rFonts w:ascii="Arial" w:cs="Arial" w:eastAsia="Arial" w:hAnsi="Arial"/>
                <w:sz w:val="22"/>
                <w:szCs w:val="22"/>
                <w:rtl/>
              </w:rPr>
              <w:t xml:space="preserve"> בזמן אמת, תוצאות על המסך</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1:00–2:30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כתבת </w:t>
            </w:r>
            <w:r>
              <w:rPr>
                <w:rFonts w:ascii="Arial" w:cs="Arial" w:eastAsia="Arial" w:hAnsi="Arial"/>
                <w:sz w:val="22"/>
                <w:szCs w:val="22"/>
              </w:rPr>
              <w:t xml:space="preserve">‎TheMarker‎</w:t>
            </w:r>
            <w:r>
              <w:rPr>
                <w:rFonts w:ascii="Arial" w:cs="Arial" w:eastAsia="Arial" w:hAnsi="Arial"/>
                <w:sz w:val="22"/>
                <w:szCs w:val="22"/>
                <w:rtl/>
              </w:rPr>
              <w:t xml:space="preserve"> (21.6.2026), נתוני בנק ישראל – כרטיסי מספרים גדולים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המאמר: מי, איפה, מה; ההגדרה; ממדי האיום; ארבעת המנגנונים; המשתנים הממתנים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תרשים המודל, טבלת 2×2 של מוקדי האיום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5:00–6:00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ראיות תומכות ותובנות: המטא-אנליזה, "הרגש הוא המנוף", דעה אישית</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שקופית מספרים (535 מדגמים, 51/56 תוצאות)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סרטון: קטע של 90 שניות מהרצאת </w:t>
            </w:r>
            <w:r>
              <w:rPr>
                <w:rFonts w:ascii="Arial" w:cs="Arial" w:eastAsia="Arial" w:hAnsi="Arial"/>
                <w:sz w:val="22"/>
                <w:szCs w:val="22"/>
              </w:rPr>
              <w:t xml:space="preserve">‎TED‎</w:t>
            </w:r>
            <w:r>
              <w:rPr>
                <w:rFonts w:ascii="Arial" w:cs="Arial" w:eastAsia="Arial" w:hAnsi="Arial"/>
                <w:sz w:val="22"/>
                <w:szCs w:val="22"/>
                <w:rtl/>
              </w:rPr>
              <w:t xml:space="preserve"> של </w:t>
            </w:r>
            <w:r>
              <w:rPr>
                <w:rFonts w:ascii="Arial" w:cs="Arial" w:eastAsia="Arial" w:hAnsi="Arial"/>
                <w:sz w:val="22"/>
                <w:szCs w:val="22"/>
              </w:rPr>
              <w:t xml:space="preserve">‎Lucy Hone‎</w:t>
            </w:r>
            <w:r>
              <w:rPr>
                <w:rFonts w:ascii="Arial" w:cs="Arial" w:eastAsia="Arial" w:hAnsi="Arial"/>
                <w:sz w:val="22"/>
                <w:szCs w:val="22"/>
                <w:rtl/>
              </w:rPr>
              <w:t xml:space="preserve"> – "שלושת הסודות של אנשים חסינים"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7:30–9:00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הפעלה: כרטיסי תרחיש בזוגות ("החברה הודיעה על התייעלות של 15%") – מילוי מהיר של מפת החוסן</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כרטיסים מודפסים / שקופית תרחיש, טבלת מפת החוסן</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שקופית סיכום</w:t>
            </w:r>
          </w:p>
        </w:tc>
      </w:tr>
    </w:tbl>
    <w:p>
      <w:pPr>
        <w:spacing w:after="120"/>
      </w:pPr>
    </w:p>
    <w:p>
      <w:pPr>
        <w:pStyle w:val="Heading2"/>
        <w:bidi/>
        <w:spacing w:after="120" w:before="240"/>
        <w:jc w:val="right"/>
      </w:pPr>
      <w:r>
        <w:rPr>
          <w:rFonts w:ascii="Arial" w:cs="Arial" w:eastAsia="Arial" w:hAnsi="Arial"/>
          <w:b/>
          <w:bCs/>
          <w:color w:val="0E6E73"/>
          <w:sz w:val="28"/>
          <w:szCs w:val="28"/>
          <w:rtl/>
        </w:rPr>
        <w:t xml:space="preserve">כרטיסי תרחיש להפעלה</w:t>
      </w:r>
    </w:p>
    <w:p>
      <w:pPr>
        <w:pStyle w:val="ListParagraph"/>
        <w:numPr>
          <w:ilvl w:val="0"/>
          <w:numId w:val="4"/>
        </w:numPr>
        <w:bidi/>
        <w:spacing w:after="80" w:line="360"/>
        <w:jc w:val="both"/>
      </w:pPr>
      <w:r>
        <w:rPr>
          <w:rFonts w:ascii="Arial" w:cs="Arial" w:eastAsia="Arial" w:hAnsi="Arial"/>
          <w:b/>
          <w:bCs/>
          <w:sz w:val="24"/>
          <w:szCs w:val="24"/>
          <w:rtl/>
        </w:rPr>
        <w:t xml:space="preserve">תרחיש א:</w:t>
      </w:r>
      <w:r>
        <w:rPr>
          <w:rFonts w:ascii="Arial" w:cs="Arial" w:eastAsia="Arial" w:hAnsi="Arial"/>
          <w:sz w:val="24"/>
          <w:szCs w:val="24"/>
          <w:rtl/>
        </w:rPr>
        <w:t xml:space="preserve"> אתם עובדי מטה בחברת הייטק. הבוקר נשלח מייל מהמנכ"ל על "התייעלות של 15% ברבעון הקרוב". אין פרטים נוספים. מה תעשו בשבוע הקרוב?</w:t>
      </w:r>
    </w:p>
    <w:p>
      <w:pPr>
        <w:pStyle w:val="ListParagraph"/>
        <w:numPr>
          <w:ilvl w:val="0"/>
          <w:numId w:val="4"/>
        </w:numPr>
        <w:bidi/>
        <w:spacing w:after="80" w:line="360"/>
        <w:jc w:val="both"/>
      </w:pPr>
      <w:r>
        <w:rPr>
          <w:rFonts w:ascii="Arial" w:cs="Arial" w:eastAsia="Arial" w:hAnsi="Arial"/>
          <w:b/>
          <w:bCs/>
          <w:sz w:val="24"/>
          <w:szCs w:val="24"/>
          <w:rtl/>
        </w:rPr>
        <w:t xml:space="preserve">תרחיש ב:</w:t>
      </w:r>
      <w:r>
        <w:rPr>
          <w:rFonts w:ascii="Arial" w:cs="Arial" w:eastAsia="Arial" w:hAnsi="Arial"/>
          <w:sz w:val="24"/>
          <w:szCs w:val="24"/>
          <w:rtl/>
        </w:rPr>
        <w:t xml:space="preserve"> אתם עובדים בשירות לקוחות. הארגון הודיע שמערכת בינה מלאכותית תטפל מעתה ב-60% מהפניות. התפקיד שלכם נשאר, אך תוכנו ישתנה. איך תגיבו?</w:t>
      </w:r>
    </w:p>
    <w:p>
      <w:pPr>
        <w:pStyle w:val="ListParagraph"/>
        <w:numPr>
          <w:ilvl w:val="0"/>
          <w:numId w:val="4"/>
        </w:numPr>
        <w:bidi/>
        <w:spacing w:after="80" w:line="360"/>
        <w:jc w:val="both"/>
      </w:pPr>
      <w:r>
        <w:rPr>
          <w:rFonts w:ascii="Arial" w:cs="Arial" w:eastAsia="Arial" w:hAnsi="Arial"/>
          <w:b/>
          <w:bCs/>
          <w:sz w:val="24"/>
          <w:szCs w:val="24"/>
          <w:rtl/>
        </w:rPr>
        <w:t xml:space="preserve">תרחיש ג:</w:t>
      </w:r>
      <w:r>
        <w:rPr>
          <w:rFonts w:ascii="Arial" w:cs="Arial" w:eastAsia="Arial" w:hAnsi="Arial"/>
          <w:sz w:val="24"/>
          <w:szCs w:val="24"/>
          <w:rtl/>
        </w:rPr>
        <w:t xml:space="preserve"> אתם עצמאיים. הלקוח הגדול ביותר שלכם (40% מההכנסה) הודיע על הקפאת פרויקטים "עד שהמצב יתבהר". מה הצעד הראשון?</w:t>
      </w:r>
    </w:p>
    <w:p>
      <w:pPr>
        <w:bidi/>
        <w:spacing w:after="120" w:before="0" w:line="360"/>
        <w:jc w:val="both"/>
      </w:pPr>
      <w:r>
        <w:rPr>
          <w:rFonts w:ascii="Arial" w:cs="Arial" w:eastAsia="Arial" w:hAnsi="Arial"/>
          <w:sz w:val="24"/>
          <w:szCs w:val="24"/>
          <w:rtl/>
        </w:rPr>
        <w:t xml:space="preserve">בכל תרחיש הזוגות מתבקשים לענות על שלוש שאלות מתוך מפת החוסן: (1) מה האיום בפועל – כמותי או איכותני, ומה בשליטתי? (2) איזו פגיעות (כלכלית/פסיכולוגית) הכי מטרידה אותי? (3) איזו פעולה פרואקטיבית אחת אעשה השבוע?</w:t>
      </w:r>
    </w:p>
    <w:p>
      <w:pPr>
        <w:pStyle w:val="Heading1"/>
        <w:bidi/>
        <w:spacing w:after="200" w:before="360"/>
        <w:jc w:val="right"/>
      </w:pPr>
      <w:r>
        <w:rPr>
          <w:rFonts w:ascii="Arial" w:cs="Arial" w:eastAsia="Arial" w:hAnsi="Arial"/>
          <w:b/>
          <w:bCs/>
          <w:color w:val="1F3864"/>
          <w:sz w:val="32"/>
          <w:szCs w:val="32"/>
          <w:rtl/>
        </w:rPr>
        <w:t xml:space="preserve">נספח ב: שאלון קצר להערכה עצמית</w:t>
      </w:r>
    </w:p>
    <w:p>
      <w:pPr>
        <w:bidi/>
        <w:spacing w:after="120" w:before="0" w:line="360"/>
        <w:jc w:val="both"/>
      </w:pPr>
      <w:r>
        <w:rPr>
          <w:rFonts w:ascii="Arial" w:cs="Arial" w:eastAsia="Arial" w:hAnsi="Arial"/>
          <w:sz w:val="24"/>
          <w:szCs w:val="24"/>
          <w:rtl/>
        </w:rPr>
        <w:t xml:space="preserve">השאלון נוסח על ידינו בהשראת פריטי מדידה נפוצים בספרות על חוסר ביטחון תעסוקתי (ראו </w:t>
      </w:r>
      <w:r>
        <w:rPr>
          <w:rFonts w:ascii="Arial" w:cs="Arial" w:eastAsia="Arial" w:hAnsi="Arial"/>
          <w:sz w:val="24"/>
          <w:szCs w:val="24"/>
        </w:rPr>
        <w:t xml:space="preserve">‎Shoss, 2017; Lee et al., 2018‎</w:t>
      </w:r>
      <w:r>
        <w:rPr>
          <w:rFonts w:ascii="Arial" w:cs="Arial" w:eastAsia="Arial" w:hAnsi="Arial"/>
          <w:sz w:val="24"/>
          <w:szCs w:val="24"/>
          <w:rtl/>
        </w:rPr>
        <w:t xml:space="preserve">) ואינו כלי מדידה מתוקף. מטרתו לעורר חשיבה, לא לאבחן. דרגו כל היגד בסולם 1 (כלל לא מסכים/ה) עד 5 (מסכים/ה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w:t>
            </w:r>
          </w:p>
        </w:tc>
        <w:tc>
          <w:tcPr>
            <w:tcW w:type="dxa" w:w="5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היגד</w:t>
            </w:r>
          </w:p>
        </w:tc>
        <w:tc>
          <w:tcPr>
            <w:tcW w:type="dxa" w:w="2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300"/>
              <w:jc w:val="right"/>
            </w:pPr>
            <w:r>
              <w:rPr>
                <w:rFonts w:ascii="Arial" w:cs="Arial" w:eastAsia="Arial" w:hAnsi="Arial"/>
                <w:b/>
                <w:bCs/>
                <w:color w:val="1F3864"/>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אני חושש/ת שאאבד את מקום עבודתי בשנה הקרובה.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כמותי – קוגניטיבי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2</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המחשבה על אובדן העבודה מעסיקה אותי ומדאיגה אותי.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כמותי – רגשי</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אני חושש/ת שתפקידי ישתנה לרעה (שכר, אחריות, עניין) גם אם אשמור על המשרה.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איכותני – קוגניטיבי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4</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אם אאבד את עבודתי, יהיה לי קשה מאוד להחזיק מעמד כלכלית מעבר לחודשיים.</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פגיעות כלכלית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אני מאמין/ה שאמצא עבודה דומה בקלות יחסית.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יכולת תעסוקה (הפוך)</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6</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יש לי אנשים שאוכל לפנות אליהם לעצה ולתמיכה אם אקלע לאי-ודאות תעסוקתית.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300"/>
              <w:jc w:val="right"/>
            </w:pPr>
            <w:r>
              <w:rPr>
                <w:rFonts w:ascii="Arial" w:cs="Arial" w:eastAsia="Arial" w:hAnsi="Arial"/>
                <w:sz w:val="22"/>
                <w:szCs w:val="22"/>
                <w:rtl/>
              </w:rPr>
              <w:t xml:space="preserve">תמיכה חברתית (הפוך)</w:t>
            </w:r>
          </w:p>
        </w:tc>
      </w:tr>
    </w:tbl>
    <w:p>
      <w:pPr>
        <w:spacing w:after="120"/>
      </w:pPr>
    </w:p>
    <w:p>
      <w:pPr>
        <w:bidi/>
        <w:spacing w:after="120" w:before="0" w:line="360"/>
        <w:jc w:val="both"/>
      </w:pPr>
      <w:r>
        <w:rPr>
          <w:rFonts w:ascii="Arial" w:cs="Arial" w:eastAsia="Arial" w:hAnsi="Arial"/>
          <w:b/>
          <w:bCs/>
          <w:sz w:val="24"/>
          <w:szCs w:val="24"/>
          <w:rtl/>
        </w:rPr>
        <w:t xml:space="preserve">פרשנות:</w:t>
      </w:r>
      <w:r>
        <w:rPr>
          <w:rFonts w:ascii="Arial" w:cs="Arial" w:eastAsia="Arial" w:hAnsi="Arial"/>
          <w:sz w:val="24"/>
          <w:szCs w:val="24"/>
          <w:rtl/>
        </w:rPr>
        <w:t xml:space="preserve"> ציון גבוה בהיגדים 1–3 מעיד על איום נתפס גבוה; ציון גבוה בהיגד 4 ונמוך בהיגדים 5–6 מעיד על פגיעוּת גבוהה. השילוב של איום גבוה ופגיעוּת גבוהה הוא המצב שבו המאמר מנבא את הנזק הגדול ביותר – וזו גם ההזמנה להתחיל לעבוד על "מפת החוסן".</w:t>
      </w:r>
    </w:p>
    <w:p>
      <w:r>
        <w:br w:type="page"/>
      </w:r>
    </w:p>
    <w:p>
      <w:pPr>
        <w:pStyle w:val="Heading1"/>
        <w:bidi/>
        <w:spacing w:after="200" w:before="360"/>
        <w:jc w:val="right"/>
      </w:pPr>
      <w:r>
        <w:rPr>
          <w:rFonts w:ascii="Arial" w:cs="Arial" w:eastAsia="Arial" w:hAnsi="Arial"/>
          <w:b/>
          <w:bCs/>
          <w:color w:val="1F3864"/>
          <w:sz w:val="32"/>
          <w:szCs w:val="32"/>
          <w:rtl/>
        </w:rPr>
        <w:t xml:space="preserve">רשימת מקורות</w:t>
      </w:r>
    </w:p>
    <w:p>
      <w:pPr>
        <w:bidi/>
        <w:spacing w:after="120" w:before="0" w:line="360"/>
        <w:jc w:val="right"/>
      </w:pPr>
      <w:r>
        <w:rPr>
          <w:rFonts w:ascii="Arial" w:cs="Arial" w:eastAsia="Arial" w:hAnsi="Arial"/>
          <w:b/>
          <w:bCs/>
          <w:sz w:val="24"/>
          <w:szCs w:val="24"/>
          <w:rtl/>
        </w:rPr>
        <w:t xml:space="preserve">מקורות בעברית</w:t>
      </w:r>
    </w:p>
    <w:p>
      <w:pPr>
        <w:bidi/>
        <w:spacing w:after="160" w:line="360"/>
        <w:ind w:left="720" w:hanging="720"/>
        <w:jc w:val="right"/>
      </w:pPr>
      <w:r>
        <w:rPr>
          <w:rFonts w:ascii="Arial" w:cs="Arial" w:eastAsia="Arial" w:hAnsi="Arial"/>
          <w:sz w:val="24"/>
          <w:szCs w:val="24"/>
          <w:rtl/>
        </w:rPr>
        <w:t xml:space="preserve">בנק ישראל (2025). ההשפעה הצפויה של בינה מלאכותית יוצרת על העובדים: השלכות על המדיניות בשוק העבודה (תיבה מתוך דוח בנק ישראל לשנת 2024). </w:t>
      </w:r>
      <w:r>
        <w:rPr>
          <w:rFonts w:ascii="Arial" w:cs="Arial" w:eastAsia="Arial" w:hAnsi="Arial"/>
          <w:sz w:val="24"/>
          <w:szCs w:val="24"/>
        </w:rPr>
        <w:t xml:space="preserve">‎https://www.boi.org.il/publications/pressreleases/11-3-25/‎</w:t>
      </w:r>
    </w:p>
    <w:p>
      <w:pPr>
        <w:bidi/>
        <w:spacing w:after="160" w:line="360"/>
        <w:ind w:left="720" w:hanging="720"/>
        <w:jc w:val="right"/>
      </w:pPr>
      <w:r>
        <w:rPr>
          <w:rFonts w:ascii="Arial" w:cs="Arial" w:eastAsia="Arial" w:hAnsi="Arial"/>
          <w:sz w:val="24"/>
          <w:szCs w:val="24"/>
          <w:rtl/>
        </w:rPr>
        <w:t xml:space="preserve">דבדבני דקל, מ. (2026). ניהול קריירה בארגונים – מצגות הקורס: "מחזון ורעיון למציאות ממשית" ו"עסקים בצל הקורונה – ממשבר להזדמנות" [חומרי קורס]. הקריה האקדמית אונו.</w:t>
      </w:r>
    </w:p>
    <w:p>
      <w:pPr>
        <w:bidi/>
        <w:spacing w:after="160" w:line="360"/>
        <w:ind w:left="720" w:hanging="720"/>
        <w:jc w:val="right"/>
      </w:pPr>
      <w:r>
        <w:rPr>
          <w:rFonts w:ascii="Arial" w:cs="Arial" w:eastAsia="Arial" w:hAnsi="Arial"/>
          <w:sz w:val="24"/>
          <w:szCs w:val="24"/>
        </w:rPr>
        <w:t xml:space="preserve">‎TheMarker‎</w:t>
      </w:r>
      <w:r>
        <w:rPr>
          <w:rFonts w:ascii="Arial" w:cs="Arial" w:eastAsia="Arial" w:hAnsi="Arial"/>
          <w:sz w:val="24"/>
          <w:szCs w:val="24"/>
          <w:rtl/>
        </w:rPr>
        <w:t xml:space="preserve"> (2026, 21 ביוני). הקשיים של מנהלי הייטק ב-2026: גיוס עובדים מתאימים – והתייעלות </w:t>
      </w:r>
      <w:r>
        <w:rPr>
          <w:rFonts w:ascii="Arial" w:cs="Arial" w:eastAsia="Arial" w:hAnsi="Arial"/>
          <w:sz w:val="24"/>
          <w:szCs w:val="24"/>
        </w:rPr>
        <w:t xml:space="preserve">‎AI‎</w:t>
      </w:r>
      <w:r>
        <w:rPr>
          <w:rFonts w:ascii="Arial" w:cs="Arial" w:eastAsia="Arial" w:hAnsi="Arial"/>
          <w:sz w:val="24"/>
          <w:szCs w:val="24"/>
          <w:rtl/>
        </w:rPr>
        <w:t xml:space="preserve">. </w:t>
      </w:r>
      <w:r>
        <w:rPr>
          <w:rFonts w:ascii="Arial" w:cs="Arial" w:eastAsia="Arial" w:hAnsi="Arial"/>
          <w:sz w:val="24"/>
          <w:szCs w:val="24"/>
        </w:rPr>
        <w:t xml:space="preserve">‎https://www.themarker.com/career/2026-06-21/ty-article/.premium/0000019e-e3b1-d2b1-a5bf-fbb76dff0000‎</w:t>
      </w:r>
    </w:p>
    <w:p>
      <w:pPr>
        <w:bidi/>
        <w:spacing w:after="120" w:before="0" w:line="360"/>
        <w:jc w:val="right"/>
      </w:pPr>
      <w:r>
        <w:rPr>
          <w:rFonts w:ascii="Arial" w:cs="Arial" w:eastAsia="Arial" w:hAnsi="Arial"/>
          <w:b/>
          <w:bCs/>
          <w:sz w:val="24"/>
          <w:szCs w:val="24"/>
          <w:rtl/>
        </w:rPr>
        <w:t xml:space="preserve">מקורות באנגלית</w:t>
      </w:r>
    </w:p>
    <w:p>
      <w:pPr>
        <w:bidi w:val="false"/>
        <w:spacing w:after="160" w:line="360"/>
        <w:ind w:left="720" w:hanging="720"/>
        <w:jc w:val="left"/>
      </w:pPr>
      <w:r>
        <w:rPr>
          <w:rFonts w:ascii="Arial" w:cs="Arial" w:eastAsia="Arial" w:hAnsi="Arial"/>
          <w:i w:val="false"/>
          <w:iCs w:val="false"/>
          <w:sz w:val="24"/>
          <w:szCs w:val="24"/>
        </w:rPr>
        <w:t xml:space="preserve">Ashford, S. J., Lee, C., &amp; Bobko, P. (1989). Content, causes, and consequences of job insecurity: A theory-based measure and substantive test. </w:t>
      </w:r>
      <w:r>
        <w:rPr>
          <w:rFonts w:ascii="Arial" w:cs="Arial" w:eastAsia="Arial" w:hAnsi="Arial"/>
          <w:i/>
          <w:iCs/>
          <w:sz w:val="24"/>
          <w:szCs w:val="24"/>
        </w:rPr>
        <w:t xml:space="preserve">Academy of Management Journal, 32</w:t>
      </w:r>
      <w:r>
        <w:rPr>
          <w:rFonts w:ascii="Arial" w:cs="Arial" w:eastAsia="Arial" w:hAnsi="Arial"/>
          <w:i w:val="false"/>
          <w:iCs w:val="false"/>
          <w:sz w:val="24"/>
          <w:szCs w:val="24"/>
        </w:rPr>
        <w:t xml:space="preserve">(4), 803–829. https://doi.org/10.2307/256569</w:t>
      </w:r>
    </w:p>
    <w:p>
      <w:pPr>
        <w:bidi w:val="false"/>
        <w:spacing w:after="160" w:line="360"/>
        <w:ind w:left="720" w:hanging="720"/>
        <w:jc w:val="left"/>
      </w:pPr>
      <w:r>
        <w:rPr>
          <w:rFonts w:ascii="Arial" w:cs="Arial" w:eastAsia="Arial" w:hAnsi="Arial"/>
          <w:i w:val="false"/>
          <w:iCs w:val="false"/>
          <w:sz w:val="24"/>
          <w:szCs w:val="24"/>
        </w:rPr>
        <w:t xml:space="preserve">Greenhalgh, L., &amp; Rosenblatt, Z. (1984). Job insecurity: Toward conceptual clarity. </w:t>
      </w:r>
      <w:r>
        <w:rPr>
          <w:rFonts w:ascii="Arial" w:cs="Arial" w:eastAsia="Arial" w:hAnsi="Arial"/>
          <w:i/>
          <w:iCs/>
          <w:sz w:val="24"/>
          <w:szCs w:val="24"/>
        </w:rPr>
        <w:t xml:space="preserve">Academy of Management Review, 9</w:t>
      </w:r>
      <w:r>
        <w:rPr>
          <w:rFonts w:ascii="Arial" w:cs="Arial" w:eastAsia="Arial" w:hAnsi="Arial"/>
          <w:i w:val="false"/>
          <w:iCs w:val="false"/>
          <w:sz w:val="24"/>
          <w:szCs w:val="24"/>
        </w:rPr>
        <w:t xml:space="preserve">(3), 438–448. https://doi.org/10.5465/amr.1984.4279673</w:t>
      </w:r>
    </w:p>
    <w:p>
      <w:pPr>
        <w:bidi w:val="false"/>
        <w:spacing w:after="160" w:line="360"/>
        <w:ind w:left="720" w:hanging="720"/>
        <w:jc w:val="left"/>
      </w:pPr>
      <w:r>
        <w:rPr>
          <w:rFonts w:ascii="Arial" w:cs="Arial" w:eastAsia="Arial" w:hAnsi="Arial"/>
          <w:i w:val="false"/>
          <w:iCs w:val="false"/>
          <w:sz w:val="24"/>
          <w:szCs w:val="24"/>
        </w:rPr>
        <w:t xml:space="preserve">Greenhaus, J. H., Callanan, G. A., &amp; Godshalk, V. M. (2018). </w:t>
      </w:r>
      <w:r>
        <w:rPr>
          <w:rFonts w:ascii="Arial" w:cs="Arial" w:eastAsia="Arial" w:hAnsi="Arial"/>
          <w:i/>
          <w:iCs/>
          <w:sz w:val="24"/>
          <w:szCs w:val="24"/>
        </w:rPr>
        <w:t xml:space="preserve">Career management for life</w:t>
      </w:r>
      <w:r>
        <w:rPr>
          <w:rFonts w:ascii="Arial" w:cs="Arial" w:eastAsia="Arial" w:hAnsi="Arial"/>
          <w:i w:val="false"/>
          <w:iCs w:val="false"/>
          <w:sz w:val="24"/>
          <w:szCs w:val="24"/>
        </w:rPr>
        <w:t xml:space="preserve"> (5th ed.). Routledge.</w:t>
      </w:r>
    </w:p>
    <w:p>
      <w:pPr>
        <w:bidi w:val="false"/>
        <w:spacing w:after="160" w:line="360"/>
        <w:ind w:left="720" w:hanging="720"/>
        <w:jc w:val="left"/>
      </w:pPr>
      <w:r>
        <w:rPr>
          <w:rFonts w:ascii="Arial" w:cs="Arial" w:eastAsia="Arial" w:hAnsi="Arial"/>
          <w:i w:val="false"/>
          <w:iCs w:val="false"/>
          <w:sz w:val="24"/>
          <w:szCs w:val="24"/>
        </w:rPr>
        <w:t xml:space="preserve">Hellgren, J., Sverke, M., &amp; Isaksson, K. (1999). A two-dimensional approach to job insecurity: Consequences for employee attitudes and well-being. </w:t>
      </w:r>
      <w:r>
        <w:rPr>
          <w:rFonts w:ascii="Arial" w:cs="Arial" w:eastAsia="Arial" w:hAnsi="Arial"/>
          <w:i/>
          <w:iCs/>
          <w:sz w:val="24"/>
          <w:szCs w:val="24"/>
        </w:rPr>
        <w:t xml:space="preserve">European Journal of Work and Organizational Psychology, 8</w:t>
      </w:r>
      <w:r>
        <w:rPr>
          <w:rFonts w:ascii="Arial" w:cs="Arial" w:eastAsia="Arial" w:hAnsi="Arial"/>
          <w:i w:val="false"/>
          <w:iCs w:val="false"/>
          <w:sz w:val="24"/>
          <w:szCs w:val="24"/>
        </w:rPr>
        <w:t xml:space="preserve">(2), 179–195. https://doi.org/10.1080/135943299398311</w:t>
      </w:r>
    </w:p>
    <w:p>
      <w:pPr>
        <w:bidi w:val="false"/>
        <w:spacing w:after="160" w:line="360"/>
        <w:ind w:left="720" w:hanging="720"/>
        <w:jc w:val="left"/>
      </w:pPr>
      <w:r>
        <w:rPr>
          <w:rFonts w:ascii="Arial" w:cs="Arial" w:eastAsia="Arial" w:hAnsi="Arial"/>
          <w:i w:val="false"/>
          <w:iCs w:val="false"/>
          <w:sz w:val="24"/>
          <w:szCs w:val="24"/>
        </w:rPr>
        <w:t xml:space="preserve">Hobfoll, S. E. (1989). Conservation of resources: A new attempt at conceptualizing stress. </w:t>
      </w:r>
      <w:r>
        <w:rPr>
          <w:rFonts w:ascii="Arial" w:cs="Arial" w:eastAsia="Arial" w:hAnsi="Arial"/>
          <w:i/>
          <w:iCs/>
          <w:sz w:val="24"/>
          <w:szCs w:val="24"/>
        </w:rPr>
        <w:t xml:space="preserve">American Psychologist, 44</w:t>
      </w:r>
      <w:r>
        <w:rPr>
          <w:rFonts w:ascii="Arial" w:cs="Arial" w:eastAsia="Arial" w:hAnsi="Arial"/>
          <w:i w:val="false"/>
          <w:iCs w:val="false"/>
          <w:sz w:val="24"/>
          <w:szCs w:val="24"/>
        </w:rPr>
        <w:t xml:space="preserve">(3), 513–524. https://doi.org/10.1037/0003-066X.44.3.513</w:t>
      </w:r>
    </w:p>
    <w:p>
      <w:pPr>
        <w:bidi w:val="false"/>
        <w:spacing w:after="160" w:line="360"/>
        <w:ind w:left="720" w:hanging="720"/>
        <w:jc w:val="left"/>
      </w:pPr>
      <w:r>
        <w:rPr>
          <w:rFonts w:ascii="Arial" w:cs="Arial" w:eastAsia="Arial" w:hAnsi="Arial"/>
          <w:i w:val="false"/>
          <w:iCs w:val="false"/>
          <w:sz w:val="24"/>
          <w:szCs w:val="24"/>
        </w:rPr>
        <w:t xml:space="preserve">Hone, L. (2019). </w:t>
      </w:r>
      <w:r>
        <w:rPr>
          <w:rFonts w:ascii="Arial" w:cs="Arial" w:eastAsia="Arial" w:hAnsi="Arial"/>
          <w:i/>
          <w:iCs/>
          <w:sz w:val="24"/>
          <w:szCs w:val="24"/>
        </w:rPr>
        <w:t xml:space="preserve">3 secrets of resilient people</w:t>
      </w:r>
      <w:r>
        <w:rPr>
          <w:rFonts w:ascii="Arial" w:cs="Arial" w:eastAsia="Arial" w:hAnsi="Arial"/>
          <w:i w:val="false"/>
          <w:iCs w:val="false"/>
          <w:sz w:val="24"/>
          <w:szCs w:val="24"/>
        </w:rPr>
        <w:t xml:space="preserve"> [Video]. TED Conferences. https://www.ted.com/talks/lucy_hone_the_three_secrets_of_resilient_people</w:t>
      </w:r>
    </w:p>
    <w:p>
      <w:pPr>
        <w:bidi w:val="false"/>
        <w:spacing w:after="160" w:line="360"/>
        <w:ind w:left="720" w:hanging="720"/>
        <w:jc w:val="left"/>
      </w:pPr>
      <w:r>
        <w:rPr>
          <w:rFonts w:ascii="Arial" w:cs="Arial" w:eastAsia="Arial" w:hAnsi="Arial"/>
          <w:i w:val="false"/>
          <w:iCs w:val="false"/>
          <w:sz w:val="24"/>
          <w:szCs w:val="24"/>
        </w:rPr>
        <w:t xml:space="preserve">Jiang, L., &amp; Lavaysse, L. M. (2018). Cognitive and affective job insecurity: A meta-analysis and a primary study. </w:t>
      </w:r>
      <w:r>
        <w:rPr>
          <w:rFonts w:ascii="Arial" w:cs="Arial" w:eastAsia="Arial" w:hAnsi="Arial"/>
          <w:i/>
          <w:iCs/>
          <w:sz w:val="24"/>
          <w:szCs w:val="24"/>
        </w:rPr>
        <w:t xml:space="preserve">Journal of Management, 44</w:t>
      </w:r>
      <w:r>
        <w:rPr>
          <w:rFonts w:ascii="Arial" w:cs="Arial" w:eastAsia="Arial" w:hAnsi="Arial"/>
          <w:i w:val="false"/>
          <w:iCs w:val="false"/>
          <w:sz w:val="24"/>
          <w:szCs w:val="24"/>
        </w:rPr>
        <w:t xml:space="preserve">(6), 2307–2342. https://doi.org/10.1177/0149206318773853</w:t>
      </w:r>
    </w:p>
    <w:p>
      <w:pPr>
        <w:bidi w:val="false"/>
        <w:spacing w:after="160" w:line="360"/>
        <w:ind w:left="720" w:hanging="720"/>
        <w:jc w:val="left"/>
      </w:pPr>
      <w:r>
        <w:rPr>
          <w:rFonts w:ascii="Arial" w:cs="Arial" w:eastAsia="Arial" w:hAnsi="Arial"/>
          <w:i w:val="false"/>
          <w:iCs w:val="false"/>
          <w:sz w:val="24"/>
          <w:szCs w:val="24"/>
        </w:rPr>
        <w:t xml:space="preserve">Lazarus, R. S., &amp; Folkman, S. (1984). </w:t>
      </w:r>
      <w:r>
        <w:rPr>
          <w:rFonts w:ascii="Arial" w:cs="Arial" w:eastAsia="Arial" w:hAnsi="Arial"/>
          <w:i/>
          <w:iCs/>
          <w:sz w:val="24"/>
          <w:szCs w:val="24"/>
        </w:rPr>
        <w:t xml:space="preserve">Stress, appraisal, and coping</w:t>
      </w:r>
      <w:r>
        <w:rPr>
          <w:rFonts w:ascii="Arial" w:cs="Arial" w:eastAsia="Arial" w:hAnsi="Arial"/>
          <w:i w:val="false"/>
          <w:iCs w:val="false"/>
          <w:sz w:val="24"/>
          <w:szCs w:val="24"/>
        </w:rPr>
        <w:t xml:space="preserve">. Springer.</w:t>
      </w:r>
    </w:p>
    <w:p>
      <w:pPr>
        <w:bidi w:val="false"/>
        <w:spacing w:after="160" w:line="360"/>
        <w:ind w:left="720" w:hanging="720"/>
        <w:jc w:val="left"/>
      </w:pPr>
      <w:r>
        <w:rPr>
          <w:rFonts w:ascii="Arial" w:cs="Arial" w:eastAsia="Arial" w:hAnsi="Arial"/>
          <w:i w:val="false"/>
          <w:iCs w:val="false"/>
          <w:sz w:val="24"/>
          <w:szCs w:val="24"/>
        </w:rPr>
        <w:t xml:space="preserve">Lee, C., Huang, G.-H., &amp; Ashford, S. J. (2018). Job insecurity and the changing workplace: Recent developments and the future trends in job insecurity research. </w:t>
      </w:r>
      <w:r>
        <w:rPr>
          <w:rFonts w:ascii="Arial" w:cs="Arial" w:eastAsia="Arial" w:hAnsi="Arial"/>
          <w:i/>
          <w:iCs/>
          <w:sz w:val="24"/>
          <w:szCs w:val="24"/>
        </w:rPr>
        <w:t xml:space="preserve">Annual Review of Organizational Psychology and Organizational Behavior, 5</w:t>
      </w:r>
      <w:r>
        <w:rPr>
          <w:rFonts w:ascii="Arial" w:cs="Arial" w:eastAsia="Arial" w:hAnsi="Arial"/>
          <w:i w:val="false"/>
          <w:iCs w:val="false"/>
          <w:sz w:val="24"/>
          <w:szCs w:val="24"/>
        </w:rPr>
        <w:t xml:space="preserve">, 335–359. https://doi.org/10.1146/annurev-orgpsych-032117-104651</w:t>
      </w:r>
    </w:p>
    <w:p>
      <w:pPr>
        <w:bidi w:val="false"/>
        <w:spacing w:after="160" w:line="360"/>
        <w:ind w:left="720" w:hanging="720"/>
        <w:jc w:val="left"/>
      </w:pPr>
      <w:r>
        <w:rPr>
          <w:rFonts w:ascii="Arial" w:cs="Arial" w:eastAsia="Arial" w:hAnsi="Arial"/>
          <w:i w:val="false"/>
          <w:iCs w:val="false"/>
          <w:sz w:val="24"/>
          <w:szCs w:val="24"/>
        </w:rPr>
        <w:t xml:space="preserve">Russo, M., Shteigman, A., &amp; Carmeli, A. (2016). Workplace and family support and work–life balance: Implications for individual psychological availability and energy at work. </w:t>
      </w:r>
      <w:r>
        <w:rPr>
          <w:rFonts w:ascii="Arial" w:cs="Arial" w:eastAsia="Arial" w:hAnsi="Arial"/>
          <w:i/>
          <w:iCs/>
          <w:sz w:val="24"/>
          <w:szCs w:val="24"/>
        </w:rPr>
        <w:t xml:space="preserve">The Journal of Positive Psychology, 11</w:t>
      </w:r>
      <w:r>
        <w:rPr>
          <w:rFonts w:ascii="Arial" w:cs="Arial" w:eastAsia="Arial" w:hAnsi="Arial"/>
          <w:i w:val="false"/>
          <w:iCs w:val="false"/>
          <w:sz w:val="24"/>
          <w:szCs w:val="24"/>
        </w:rPr>
        <w:t xml:space="preserve">(2), 173–188. https://doi.org/10.1080/17439760.2015.1025424</w:t>
      </w:r>
    </w:p>
    <w:p>
      <w:pPr>
        <w:bidi w:val="false"/>
        <w:spacing w:after="160" w:line="360"/>
        <w:ind w:left="720" w:hanging="720"/>
        <w:jc w:val="left"/>
      </w:pPr>
      <w:r>
        <w:rPr>
          <w:rFonts w:ascii="Arial" w:cs="Arial" w:eastAsia="Arial" w:hAnsi="Arial"/>
          <w:i w:val="false"/>
          <w:iCs w:val="false"/>
          <w:sz w:val="24"/>
          <w:szCs w:val="24"/>
        </w:rPr>
        <w:t xml:space="preserve">Schein, E. H. (1996). Career anchors revisited: Implications for career development in the 21st century. </w:t>
      </w:r>
      <w:r>
        <w:rPr>
          <w:rFonts w:ascii="Arial" w:cs="Arial" w:eastAsia="Arial" w:hAnsi="Arial"/>
          <w:i/>
          <w:iCs/>
          <w:sz w:val="24"/>
          <w:szCs w:val="24"/>
        </w:rPr>
        <w:t xml:space="preserve">Academy of Management Executive, 10</w:t>
      </w:r>
      <w:r>
        <w:rPr>
          <w:rFonts w:ascii="Arial" w:cs="Arial" w:eastAsia="Arial" w:hAnsi="Arial"/>
          <w:i w:val="false"/>
          <w:iCs w:val="false"/>
          <w:sz w:val="24"/>
          <w:szCs w:val="24"/>
        </w:rPr>
        <w:t xml:space="preserve">(4), 80–88. https://doi.org/10.5465/ame.1996.3145321</w:t>
      </w:r>
    </w:p>
    <w:p>
      <w:pPr>
        <w:bidi w:val="false"/>
        <w:spacing w:after="160" w:line="360"/>
        <w:ind w:left="720" w:hanging="720"/>
        <w:jc w:val="left"/>
      </w:pPr>
      <w:r>
        <w:rPr>
          <w:rFonts w:ascii="Arial" w:cs="Arial" w:eastAsia="Arial" w:hAnsi="Arial"/>
          <w:i w:val="false"/>
          <w:iCs w:val="false"/>
          <w:sz w:val="24"/>
          <w:szCs w:val="24"/>
        </w:rPr>
        <w:t xml:space="preserve">Shoss, M. K. (2017). Job insecurity: An integrative review and agenda for future research. </w:t>
      </w:r>
      <w:r>
        <w:rPr>
          <w:rFonts w:ascii="Arial" w:cs="Arial" w:eastAsia="Arial" w:hAnsi="Arial"/>
          <w:i/>
          <w:iCs/>
          <w:sz w:val="24"/>
          <w:szCs w:val="24"/>
        </w:rPr>
        <w:t xml:space="preserve">Journal of Management, 43</w:t>
      </w:r>
      <w:r>
        <w:rPr>
          <w:rFonts w:ascii="Arial" w:cs="Arial" w:eastAsia="Arial" w:hAnsi="Arial"/>
          <w:i w:val="false"/>
          <w:iCs w:val="false"/>
          <w:sz w:val="24"/>
          <w:szCs w:val="24"/>
        </w:rPr>
        <w:t xml:space="preserve">(6), 1911–1939. https://doi.org/10.1177/0149206317691574</w:t>
      </w:r>
    </w:p>
    <w:p>
      <w:pPr>
        <w:bidi w:val="false"/>
        <w:spacing w:after="160" w:line="360"/>
        <w:ind w:left="720" w:hanging="720"/>
        <w:jc w:val="left"/>
      </w:pPr>
      <w:r>
        <w:rPr>
          <w:rFonts w:ascii="Arial" w:cs="Arial" w:eastAsia="Arial" w:hAnsi="Arial"/>
          <w:i w:val="false"/>
          <w:iCs w:val="false"/>
          <w:sz w:val="24"/>
          <w:szCs w:val="24"/>
        </w:rPr>
        <w:t xml:space="preserve">Super, D. E. (1980). A life-span, life-space approach to career development. </w:t>
      </w:r>
      <w:r>
        <w:rPr>
          <w:rFonts w:ascii="Arial" w:cs="Arial" w:eastAsia="Arial" w:hAnsi="Arial"/>
          <w:i/>
          <w:iCs/>
          <w:sz w:val="24"/>
          <w:szCs w:val="24"/>
        </w:rPr>
        <w:t xml:space="preserve">Journal of Vocational Behavior, 16</w:t>
      </w:r>
      <w:r>
        <w:rPr>
          <w:rFonts w:ascii="Arial" w:cs="Arial" w:eastAsia="Arial" w:hAnsi="Arial"/>
          <w:i w:val="false"/>
          <w:iCs w:val="false"/>
          <w:sz w:val="24"/>
          <w:szCs w:val="24"/>
        </w:rPr>
        <w:t xml:space="preserve">(3), 282–298. https://doi.org/10.1016/0001-8791(80)90056-1</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abstractNum w:abstractNumId="6" w15:restartNumberingAfterBreak="0">
    <w:multiLevelType w:val="hybridMultilevel"/>
    <w:lvl w:ilvl="0" w15:tentative="1">
      <w:start w:val="1"/>
      <w:numFmt w:val="decimal"/>
      <w:lvlText w:val="%1."/>
      <w:lvlJc w:val="right"/>
      <w:pPr>
        <w:ind w:left="720" w:hanging="360"/>
      </w:pPr>
    </w:lvl>
  </w:abstractNum>
  <w:abstractNum w:abstractNumId="7"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E6E7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 עבודה מסכמת</dc:title>
  <dc:creator>Ono Academic College – Career Management</dc:creator>
  <cp:lastModifiedBy>Un-named</cp:lastModifiedBy>
  <cp:revision>1</cp:revision>
  <dcterms:created xsi:type="dcterms:W3CDTF">2026-09-17T09:06:54.359Z</dcterms:created>
  <dcterms:modified xsi:type="dcterms:W3CDTF">2026-09-17T09:06:54.359Z</dcterms:modified>
</cp:coreProperties>
</file>

<file path=docProps/custom.xml><?xml version="1.0" encoding="utf-8"?>
<Properties xmlns="http://schemas.openxmlformats.org/officeDocument/2006/custom-properties" xmlns:vt="http://schemas.openxmlformats.org/officeDocument/2006/docPropsVTypes"/>
</file>