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(185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27 دراسة (17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سبعة مطالب للتعريفات الأساسية (لغةً واصطلاحًا وطبًّا) وثمانية مطالب للتعريفات ذات الصلة.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ثماني فتاوى (5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فقرات "تعقيب" شخصية في نهاية كل فصل، وتعقيب مستقل على كل فتوى من الفتاوى الثماني،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2026-08-17T16:05:25.755Z</dcterms:created>
  <dcterms:modified xsi:type="dcterms:W3CDTF">2026-08-17T16:05:25.755Z</dcterms:modified>
</cp:coreProperties>
</file>

<file path=docProps/custom.xml><?xml version="1.0" encoding="utf-8"?>
<Properties xmlns="http://schemas.openxmlformats.org/officeDocument/2006/custom-properties" xmlns:vt="http://schemas.openxmlformats.org/officeDocument/2006/docPropsVTypes"/>
</file>