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במגזר הערבי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rPr>
        <w:t>מריאן אבו־ח'לא, ת"ז 211584644</w:t>
      </w:r>
    </w:p>
    <w:p>
      <w:pPr>
        <w:jc w:val="center"/>
      </w:pPr>
      <w:r>
        <w:rPr>
          <w:b w:val="0"/>
          <w:i w:val="0"/>
          <w:noProof/>
          <w:sz w:val="24"/>
          <w:szCs w:val="24"/>
        </w:rPr>
        <w:t>עביר בדיר, ת"ז 034387365</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8.10.2026</w:t>
      </w:r>
    </w:p>
    <w:p>
      <w:r>
        <w:rPr>
          <w:noProof/>
        </w:rPr>
        <w:br w:type="page"/>
      </w:r>
    </w:p>
    <w:p>
      <w:pPr>
        <w:pStyle w:val="Heading1"/>
      </w:pPr>
      <w:r>
        <w:rPr>
          <w:noProof/>
        </w:rPr>
        <w:t>הצהרת מקוריות</w:t>
      </w:r>
    </w:p>
    <w:p>
      <w:r>
        <w:rPr>
          <w:b w:val="0"/>
          <w:i w:val="0"/>
          <w:noProof/>
          <w:highlight w:val="yellow"/>
        </w:rPr>
        <w:t>[להדביק כאן את נוסח הצהרת המקוריות מאתר הקורס, כלשונו, ולחתום.]</w:t>
      </w:r>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במגזר הערבי: בית ספר יסודי בטייבה, חטיבת ביניים בעיר ערבית בדרום,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pPr>
        <w:pStyle w:val="Heading2"/>
      </w:pPr>
      <w:r>
        <w:rPr>
          <w:noProof/>
        </w:rPr>
        <w:t>שיטת העבודה והמרואיינים</w:t>
      </w:r>
    </w:p>
    <w:p>
      <w:r>
        <w:rPr>
          <w:b w:val="0"/>
          <w:i w:val="0"/>
          <w:noProof/>
        </w:rPr>
        <w:t>העבודה מבוססת על ארבעה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noProof/>
                <w:sz w:val="22"/>
                <w:szCs w:val="22"/>
              </w:rPr>
              <w:t>מרואיין</w:t>
            </w:r>
          </w:p>
        </w:tc>
        <w:tc>
          <w:tcPr>
            <w:tcW w:type="dxa" w:w="3061"/>
            <w:shd w:val="clear" w:color="auto" w:fill="D9D9D9"/>
          </w:tcPr>
          <w:p>
            <w:pPr>
              <w:spacing w:line="276" w:lineRule="auto" w:after="40"/>
              <w:jc w:val="right"/>
            </w:pPr>
            <w:r>
              <w:rPr>
                <w:b/>
                <w:bCs/>
                <w:i w:val="0"/>
                <w:noProof/>
                <w:sz w:val="22"/>
                <w:szCs w:val="22"/>
              </w:rPr>
              <w:t>תפקיד ובית ספר</w:t>
            </w:r>
          </w:p>
        </w:tc>
        <w:tc>
          <w:tcPr>
            <w:tcW w:type="dxa" w:w="1871"/>
            <w:shd w:val="clear" w:color="auto" w:fill="D9D9D9"/>
          </w:tcPr>
          <w:p>
            <w:pPr>
              <w:spacing w:line="276" w:lineRule="auto" w:after="40"/>
              <w:jc w:val="right"/>
            </w:pPr>
            <w:r>
              <w:rPr>
                <w:b/>
                <w:bCs/>
                <w:i w:val="0"/>
                <w:noProof/>
                <w:sz w:val="22"/>
                <w:szCs w:val="22"/>
              </w:rPr>
              <w:t>ותק</w:t>
            </w:r>
          </w:p>
        </w:tc>
        <w:tc>
          <w:tcPr>
            <w:tcW w:type="dxa" w:w="2438"/>
            <w:shd w:val="clear" w:color="auto" w:fill="D9D9D9"/>
          </w:tcPr>
          <w:p>
            <w:pPr>
              <w:spacing w:line="276" w:lineRule="auto" w:after="40"/>
              <w:jc w:val="right"/>
            </w:pPr>
            <w:r>
              <w:rPr>
                <w:b/>
                <w:bCs/>
                <w:i w:val="0"/>
                <w:noProof/>
                <w:sz w:val="22"/>
                <w:szCs w:val="22"/>
              </w:rPr>
              <w:t>בעלי העניין העיקריים</w:t>
            </w:r>
          </w:p>
        </w:tc>
      </w:tr>
      <w:tr>
        <w:tc>
          <w:tcPr>
            <w:tcW w:type="dxa" w:w="1701"/>
          </w:tcPr>
          <w:p>
            <w:pPr>
              <w:spacing w:line="276" w:lineRule="auto" w:after="40"/>
              <w:jc w:val="right"/>
            </w:pPr>
            <w:r>
              <w:rPr>
                <w:b w:val="0"/>
                <w:i w:val="0"/>
                <w:noProof/>
                <w:sz w:val="22"/>
                <w:szCs w:val="22"/>
              </w:rPr>
              <w:t>סמיר (שם בדוי)</w:t>
            </w:r>
          </w:p>
        </w:tc>
        <w:tc>
          <w:tcPr>
            <w:tcW w:type="dxa" w:w="3061"/>
          </w:tcPr>
          <w:p>
            <w:pPr>
              <w:spacing w:line="276" w:lineRule="auto" w:after="40"/>
              <w:jc w:val="right"/>
            </w:pPr>
            <w:r>
              <w:rPr>
                <w:b w:val="0"/>
                <w:i w:val="0"/>
                <w:noProof/>
                <w:sz w:val="22"/>
                <w:szCs w:val="22"/>
              </w:rPr>
              <w:t>מנהל בית ספר יסודי ממלכתי בטייבה, כ־400 תלמידים</w:t>
            </w:r>
          </w:p>
        </w:tc>
        <w:tc>
          <w:tcPr>
            <w:tcW w:type="dxa" w:w="1871"/>
          </w:tcPr>
          <w:p>
            <w:pPr>
              <w:spacing w:line="276" w:lineRule="auto" w:after="40"/>
              <w:jc w:val="right"/>
            </w:pPr>
            <w:r>
              <w:rPr>
                <w:b w:val="0"/>
                <w:i w:val="0"/>
                <w:noProof/>
                <w:sz w:val="22"/>
                <w:szCs w:val="22"/>
              </w:rPr>
              <w:t>24 שנים בחינוך, 7 כמנהל</w:t>
            </w:r>
          </w:p>
        </w:tc>
        <w:tc>
          <w:tcPr>
            <w:tcW w:type="dxa" w:w="2438"/>
          </w:tcPr>
          <w:p>
            <w:pPr>
              <w:spacing w:line="276" w:lineRule="auto" w:after="40"/>
              <w:jc w:val="right"/>
            </w:pPr>
            <w:r>
              <w:rPr>
                <w:b w:val="0"/>
                <w:i w:val="0"/>
                <w:noProof/>
                <w:sz w:val="22"/>
                <w:szCs w:val="22"/>
              </w:rPr>
              <w:t>עיריית טייבה, ועד ההורים, מורים, מפקחת</w:t>
            </w:r>
          </w:p>
        </w:tc>
      </w:tr>
      <w:tr>
        <w:tc>
          <w:tcPr>
            <w:tcW w:type="dxa" w:w="1701"/>
          </w:tcPr>
          <w:p>
            <w:pPr>
              <w:spacing w:line="276" w:lineRule="auto" w:after="40"/>
              <w:jc w:val="right"/>
            </w:pPr>
            <w:r>
              <w:rPr>
                <w:b w:val="0"/>
                <w:i w:val="0"/>
                <w:noProof/>
                <w:sz w:val="22"/>
                <w:szCs w:val="22"/>
              </w:rPr>
              <w:t>רנא (שם בדוי)</w:t>
            </w:r>
          </w:p>
        </w:tc>
        <w:tc>
          <w:tcPr>
            <w:tcW w:type="dxa" w:w="3061"/>
          </w:tcPr>
          <w:p>
            <w:pPr>
              <w:spacing w:line="276" w:lineRule="auto" w:after="40"/>
              <w:jc w:val="right"/>
            </w:pPr>
            <w:r>
              <w:rPr>
                <w:b w:val="0"/>
                <w:i w:val="0"/>
                <w:noProof/>
                <w:sz w:val="22"/>
                <w:szCs w:val="22"/>
              </w:rPr>
              <w:t>מנהלת חטיבת ביניים ממלכתית בעיר ערבית בדרום, כ־300 תלמידים</w:t>
            </w:r>
          </w:p>
        </w:tc>
        <w:tc>
          <w:tcPr>
            <w:tcW w:type="dxa" w:w="1871"/>
          </w:tcPr>
          <w:p>
            <w:pPr>
              <w:spacing w:line="276" w:lineRule="auto" w:after="40"/>
              <w:jc w:val="right"/>
            </w:pPr>
            <w:r>
              <w:rPr>
                <w:b w:val="0"/>
                <w:i w:val="0"/>
                <w:noProof/>
                <w:sz w:val="22"/>
                <w:szCs w:val="22"/>
              </w:rPr>
              <w:t>27 שנים בחינוך, 9 כמנהלת</w:t>
            </w:r>
          </w:p>
        </w:tc>
        <w:tc>
          <w:tcPr>
            <w:tcW w:type="dxa" w:w="2438"/>
          </w:tcPr>
          <w:p>
            <w:pPr>
              <w:spacing w:line="276" w:lineRule="auto" w:after="40"/>
              <w:jc w:val="right"/>
            </w:pPr>
            <w:r>
              <w:rPr>
                <w:b w:val="0"/>
                <w:i w:val="0"/>
                <w:noProof/>
                <w:sz w:val="22"/>
                <w:szCs w:val="22"/>
              </w:rPr>
              <w:t>צוות המורים וארגון המורים, הורים, העירייה, ספקים</w:t>
            </w:r>
          </w:p>
        </w:tc>
      </w:tr>
      <w:tr>
        <w:tc>
          <w:tcPr>
            <w:tcW w:type="dxa" w:w="1701"/>
          </w:tcPr>
          <w:p>
            <w:pPr>
              <w:spacing w:line="276" w:lineRule="auto" w:after="40"/>
              <w:jc w:val="right"/>
            </w:pPr>
            <w:r>
              <w:rPr>
                <w:b w:val="0"/>
                <w:i w:val="0"/>
                <w:noProof/>
                <w:sz w:val="22"/>
                <w:szCs w:val="22"/>
              </w:rPr>
              <w:t>ח'אלד (שם בדוי)</w:t>
            </w:r>
          </w:p>
        </w:tc>
        <w:tc>
          <w:tcPr>
            <w:tcW w:type="dxa" w:w="3061"/>
          </w:tcPr>
          <w:p>
            <w:pPr>
              <w:spacing w:line="276" w:lineRule="auto" w:after="40"/>
              <w:jc w:val="right"/>
            </w:pPr>
            <w:r>
              <w:rPr>
                <w:b w:val="0"/>
                <w:i w:val="0"/>
                <w:noProof/>
                <w:sz w:val="22"/>
                <w:szCs w:val="22"/>
              </w:rPr>
              <w:t>מנהל תיכון מקיף ביישוב בדואי בנגב, כ־320 תלמידים</w:t>
            </w:r>
          </w:p>
        </w:tc>
        <w:tc>
          <w:tcPr>
            <w:tcW w:type="dxa" w:w="1871"/>
          </w:tcPr>
          <w:p>
            <w:pPr>
              <w:spacing w:line="276" w:lineRule="auto" w:after="40"/>
              <w:jc w:val="right"/>
            </w:pPr>
            <w:r>
              <w:rPr>
                <w:b w:val="0"/>
                <w:i w:val="0"/>
                <w:noProof/>
                <w:sz w:val="22"/>
                <w:szCs w:val="22"/>
              </w:rPr>
              <w:t>19 שנים בחינוך, 4 כמנהל</w:t>
            </w:r>
          </w:p>
        </w:tc>
        <w:tc>
          <w:tcPr>
            <w:tcW w:type="dxa" w:w="2438"/>
          </w:tcPr>
          <w:p>
            <w:pPr>
              <w:spacing w:line="276" w:lineRule="auto" w:after="40"/>
              <w:jc w:val="right"/>
            </w:pPr>
            <w:r>
              <w:rPr>
                <w:b w:val="0"/>
                <w:i w:val="0"/>
                <w:noProof/>
                <w:sz w:val="22"/>
                <w:szCs w:val="22"/>
              </w:rPr>
              <w:t>המועצה המקומית, חברת ההסעות, משפחות ומכובדים, המחוז</w:t>
            </w:r>
          </w:p>
        </w:tc>
      </w:tr>
      <w:tr>
        <w:tc>
          <w:tcPr>
            <w:tcW w:type="dxa" w:w="1701"/>
          </w:tcPr>
          <w:p>
            <w:pPr>
              <w:spacing w:line="276" w:lineRule="auto" w:after="40"/>
              <w:jc w:val="right"/>
            </w:pPr>
            <w:r>
              <w:rPr>
                <w:b w:val="0"/>
                <w:i w:val="0"/>
                <w:noProof/>
                <w:sz w:val="22"/>
                <w:szCs w:val="22"/>
              </w:rPr>
              <w:t>אמאני (שם בדוי)</w:t>
            </w:r>
          </w:p>
        </w:tc>
        <w:tc>
          <w:tcPr>
            <w:tcW w:type="dxa" w:w="3061"/>
          </w:tcPr>
          <w:p>
            <w:pPr>
              <w:spacing w:line="276" w:lineRule="auto" w:after="40"/>
              <w:jc w:val="right"/>
            </w:pPr>
            <w:r>
              <w:rPr>
                <w:b w:val="0"/>
                <w:i w:val="0"/>
                <w:noProof/>
                <w:sz w:val="22"/>
                <w:szCs w:val="22"/>
              </w:rPr>
              <w:t>מנהלת חטיבת ביניים ממלכתית בבאקה אל־גרבייה, כ־300 תלמידים</w:t>
            </w:r>
          </w:p>
        </w:tc>
        <w:tc>
          <w:tcPr>
            <w:tcW w:type="dxa" w:w="1871"/>
          </w:tcPr>
          <w:p>
            <w:pPr>
              <w:spacing w:line="276" w:lineRule="auto" w:after="40"/>
              <w:jc w:val="right"/>
            </w:pPr>
            <w:r>
              <w:rPr>
                <w:b w:val="0"/>
                <w:i w:val="0"/>
                <w:noProof/>
                <w:sz w:val="22"/>
                <w:szCs w:val="22"/>
              </w:rPr>
              <w:t>22 שנים בחינוך, 6 כמנהלת</w:t>
            </w:r>
          </w:p>
        </w:tc>
        <w:tc>
          <w:tcPr>
            <w:tcW w:type="dxa" w:w="2438"/>
          </w:tcPr>
          <w:p>
            <w:pPr>
              <w:spacing w:line="276" w:lineRule="auto" w:after="40"/>
              <w:jc w:val="right"/>
            </w:pPr>
            <w:r>
              <w:rPr>
                <w:b w:val="0"/>
                <w:i w:val="0"/>
                <w:noProof/>
                <w:sz w:val="22"/>
                <w:szCs w:val="22"/>
              </w:rPr>
              <w:t>העירייה והקב"ט, המפקחת, ועד ההורים, ועד המורים, תלמידים</w:t>
            </w:r>
          </w:p>
        </w:tc>
      </w:tr>
    </w:tbl>
    <w:p/>
    <w:p>
      <w:r>
        <w:rPr>
          <w:b w:val="0"/>
          <w:i w:val="0"/>
          <w:noProof/>
          <w:highlight w:val="yellow"/>
        </w:rPr>
        <w:t>[המחוון דורש לצרף שם וטלפון של כל מרואיין. אם המרואיינים הסכימו, לצרף את הפרטים בנספח או בדף נפרד למרצה.]</w:t>
      </w:r>
    </w:p>
    <w:p>
      <w:pPr>
        <w:pStyle w:val="Heading2"/>
      </w:pPr>
      <w:r>
        <w:rPr>
          <w:noProof/>
        </w:rPr>
        <w:t>הארגונים</w:t>
      </w:r>
    </w:p>
    <w:p>
      <w:r>
        <w:rPr>
          <w:b w:val="0"/>
          <w:i w:val="0"/>
          <w:noProof/>
        </w:rPr>
        <w:t>ארבעת בתי הספר הם בתי ספר ממלכתיים במגזר הערבי, בבעלות רשות מקומית, והם פועלים בהקשרים שונים: שניים במשולש ושניים בדרום. בית הספר של סמיר הוא בית ספר יסודי בטייבה, עם כחמישים ושניים עובדים. הוא נבנה לשלוש מאות תלמידים ולומדים בו כארבע מאות, שתי כיתות נמצאות בקרוונים ואין בו חדר מדעים. בית הספר של רנא הוא חטיבת ביניים בעיר ערבית בדרום,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 בית הספר של אמאני הוא חטיבת ביניים בבאקה אל־גרבייה עם שמונה עשרה כיתות, שתיים מהן בחינוך המיוחד, וכשישים וחמישה עובדי הוראה. העירייה פועלת תחת תוכנית הבראה, ולדברי אמאני יש בעיר "הרבה אהבה לחינוך ומעט מאוד תקציב".</w:t>
      </w:r>
    </w:p>
    <w:p>
      <w:r>
        <w:rPr>
          <w:b w:val="0"/>
          <w:i w:val="0"/>
          <w:noProof/>
        </w:rPr>
        <w:t>בכל ארבעת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רנא תיארה את עצמה כמי שמנהלת משא ומתן עם ספקים "בשם גורם אחר", כי החוזה בסוף נחתם בין החברה לעירייה.</w:t>
      </w:r>
    </w:p>
    <w:p>
      <w:pPr>
        <w:pStyle w:val="Heading2"/>
      </w:pPr>
      <w:r>
        <w:rPr>
          <w:noProof/>
        </w:rPr>
        <w:t>אתגרי ניהול ומנהיגות מרכזיים</w:t>
      </w:r>
    </w:p>
    <w:p>
      <w:r>
        <w:rPr>
          <w:b/>
          <w:bCs/>
          <w:i w:val="0"/>
          <w:noProof/>
        </w:rPr>
        <w:t>תשתיות והסעות:</w:t>
      </w:r>
      <w:r>
        <w:rPr>
          <w:b w:val="0"/>
          <w:i w:val="0"/>
          <w:noProof/>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noProof/>
        </w:rPr>
        <w:t>מחסור במורים:</w:t>
      </w:r>
      <w:r>
        <w:rPr>
          <w:b w:val="0"/>
          <w:i w:val="0"/>
          <w:noProof/>
        </w:rPr>
        <w:t xml:space="preserve"> כל ארבעת המנהלים פותחים כל שנה עם משרות לא מאוישות, בעיקר באנגלית, במתמטיקה ובמדעים. רנא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 אמאני סיפרה שהחוק נגע בשניים מהמורים שלה, ועד שהתבהר מה מותר איבדה אחד מהם.</w:t>
      </w:r>
    </w:p>
    <w:p>
      <w:r>
        <w:rPr>
          <w:b/>
          <w:bCs/>
          <w:i w:val="0"/>
          <w:noProof/>
        </w:rPr>
        <w:t>ביטחון אישי:</w:t>
      </w:r>
      <w:r>
        <w:rPr>
          <w:b w:val="0"/>
          <w:i w:val="0"/>
          <w:noProof/>
        </w:rPr>
        <w:t xml:space="preserve"> אמאני תיארה אתגר שלא עלה בראיונות האחרים: האלימות והפשיעה בחברה הערבית. בשנתיים האחרונות היו אירועי ירי במרחק מאות מטרים מבית הספר, ולדבריה "ילדים בכיתה ח' יודעים להגיד איזה רעש הוא זיקוק ואיזה הוא ירי". הפחד משפיע על הנוכחות, על נכונות מורים מערים אחרות להגיע, ועל האקלים בכיתות.</w:t>
      </w:r>
    </w:p>
    <w:p>
      <w:r>
        <w:rPr>
          <w:b/>
          <w:bCs/>
          <w:i w:val="0"/>
          <w:noProof/>
        </w:rPr>
        <w:t>המלחמה:</w:t>
      </w:r>
      <w:r>
        <w:rPr>
          <w:b w:val="0"/>
          <w:i w:val="0"/>
          <w:noProof/>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noProof/>
        </w:rPr>
        <w:t>נשירה</w:t>
      </w:r>
      <w:r>
        <w:rPr>
          <w:b w:val="0"/>
          <w:i w:val="0"/>
          <w:noProof/>
        </w:rPr>
        <w:t xml:space="preserve"> היא אתגר נוסף בתיכון של ח'אלד: בנים שיוצאים לעבוד, ובנות שהמשפחה מפסיקה לשלוח.</w:t>
      </w:r>
    </w:p>
    <w:p>
      <w:pPr>
        <w:pStyle w:val="Heading2"/>
      </w:pPr>
      <w:r>
        <w:rPr>
          <w:noProof/>
        </w:rPr>
        <w:t>משא ומתן עם בעלי עניין</w:t>
      </w:r>
    </w:p>
    <w:p>
      <w:r>
        <w:rPr>
          <w:b w:val="0"/>
          <w:i w:val="0"/>
          <w:noProof/>
        </w:rPr>
        <w:t>קונפליקט מתקיים כאשר יש תלות הדדית בין צדדים לצד תפישה של אי־התאמה בין מטרותיהם (Rahim, 2000, כפי שמצוטט אצל הוכמן, 2026).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noProof/>
                <w:sz w:val="22"/>
                <w:szCs w:val="22"/>
              </w:rPr>
              <w:t>בעל עניין</w:t>
            </w:r>
          </w:p>
        </w:tc>
        <w:tc>
          <w:tcPr>
            <w:tcW w:type="dxa" w:w="2381"/>
            <w:shd w:val="clear" w:color="auto" w:fill="D9D9D9"/>
          </w:tcPr>
          <w:p>
            <w:pPr>
              <w:spacing w:line="276" w:lineRule="auto" w:after="40"/>
              <w:jc w:val="right"/>
            </w:pPr>
            <w:r>
              <w:rPr>
                <w:b/>
                <w:bCs/>
                <w:i w:val="0"/>
                <w:noProof/>
                <w:sz w:val="22"/>
                <w:szCs w:val="22"/>
              </w:rPr>
              <w:t>נושאי המשא ומתן</w:t>
            </w:r>
          </w:p>
        </w:tc>
        <w:tc>
          <w:tcPr>
            <w:tcW w:type="dxa" w:w="2041"/>
            <w:shd w:val="clear" w:color="auto" w:fill="D9D9D9"/>
          </w:tcPr>
          <w:p>
            <w:pPr>
              <w:spacing w:line="276" w:lineRule="auto" w:after="40"/>
              <w:jc w:val="right"/>
            </w:pPr>
            <w:r>
              <w:rPr>
                <w:b/>
                <w:bCs/>
                <w:i w:val="0"/>
                <w:noProof/>
                <w:sz w:val="22"/>
                <w:szCs w:val="22"/>
              </w:rPr>
              <w:t>מקור הכוח שלו</w:t>
            </w:r>
          </w:p>
        </w:tc>
        <w:tc>
          <w:tcPr>
            <w:tcW w:type="dxa" w:w="2835"/>
            <w:shd w:val="clear" w:color="auto" w:fill="D9D9D9"/>
          </w:tcPr>
          <w:p>
            <w:pPr>
              <w:spacing w:line="276" w:lineRule="auto" w:after="40"/>
              <w:jc w:val="right"/>
            </w:pPr>
            <w:r>
              <w:rPr>
                <w:b/>
                <w:bCs/>
                <w:i w:val="0"/>
                <w:noProof/>
                <w:sz w:val="22"/>
                <w:szCs w:val="22"/>
              </w:rPr>
              <w:t>מה אמרו המנהלים</w:t>
            </w:r>
          </w:p>
        </w:tc>
      </w:tr>
      <w:tr>
        <w:tc>
          <w:tcPr>
            <w:tcW w:type="dxa" w:w="1814"/>
          </w:tcPr>
          <w:p>
            <w:pPr>
              <w:spacing w:line="276" w:lineRule="auto" w:after="40"/>
              <w:jc w:val="right"/>
            </w:pPr>
            <w:r>
              <w:rPr>
                <w:b w:val="0"/>
                <w:i w:val="0"/>
                <w:noProof/>
                <w:sz w:val="22"/>
                <w:szCs w:val="22"/>
              </w:rPr>
              <w:t>הרשות המקומית</w:t>
            </w:r>
          </w:p>
        </w:tc>
        <w:tc>
          <w:tcPr>
            <w:tcW w:type="dxa" w:w="2381"/>
          </w:tcPr>
          <w:p>
            <w:pPr>
              <w:spacing w:line="276" w:lineRule="auto" w:after="40"/>
              <w:jc w:val="right"/>
            </w:pPr>
            <w:r>
              <w:rPr>
                <w:b w:val="0"/>
                <w:i w:val="0"/>
                <w:noProof/>
                <w:sz w:val="22"/>
                <w:szCs w:val="22"/>
              </w:rPr>
              <w:t>תקציב, בנייה, תחזוקה, הסעות, אבטחה</w:t>
            </w:r>
          </w:p>
        </w:tc>
        <w:tc>
          <w:tcPr>
            <w:tcW w:type="dxa" w:w="2041"/>
          </w:tcPr>
          <w:p>
            <w:pPr>
              <w:spacing w:line="276" w:lineRule="auto" w:after="40"/>
              <w:jc w:val="right"/>
            </w:pPr>
            <w:r>
              <w:rPr>
                <w:b w:val="0"/>
                <w:i w:val="0"/>
                <w:noProof/>
                <w:sz w:val="22"/>
                <w:szCs w:val="22"/>
              </w:rPr>
              <w:t>שליטה בתקציב ובביצוע</w:t>
            </w:r>
          </w:p>
        </w:tc>
        <w:tc>
          <w:tcPr>
            <w:tcW w:type="dxa" w:w="2835"/>
          </w:tcPr>
          <w:p>
            <w:pPr>
              <w:spacing w:line="276" w:lineRule="auto" w:after="40"/>
              <w:jc w:val="right"/>
            </w:pPr>
            <w:r>
              <w:rPr>
                <w:b w:val="0"/>
                <w:i w:val="0"/>
                <w:noProof/>
                <w:sz w:val="22"/>
                <w:szCs w:val="22"/>
              </w:rPr>
              <w:t>"בלי תקציב אין מה לחלק" (סמיר)</w:t>
            </w:r>
          </w:p>
        </w:tc>
      </w:tr>
      <w:tr>
        <w:tc>
          <w:tcPr>
            <w:tcW w:type="dxa" w:w="1814"/>
          </w:tcPr>
          <w:p>
            <w:pPr>
              <w:spacing w:line="276" w:lineRule="auto" w:after="40"/>
              <w:jc w:val="right"/>
            </w:pPr>
            <w:r>
              <w:rPr>
                <w:b w:val="0"/>
                <w:i w:val="0"/>
                <w:noProof/>
                <w:sz w:val="22"/>
                <w:szCs w:val="22"/>
              </w:rPr>
              <w:t>משרד החינוך (פיקוח ומחוז)</w:t>
            </w:r>
          </w:p>
        </w:tc>
        <w:tc>
          <w:tcPr>
            <w:tcW w:type="dxa" w:w="2381"/>
          </w:tcPr>
          <w:p>
            <w:pPr>
              <w:spacing w:line="276" w:lineRule="auto" w:after="40"/>
              <w:jc w:val="right"/>
            </w:pPr>
            <w:r>
              <w:rPr>
                <w:b w:val="0"/>
                <w:i w:val="0"/>
                <w:noProof/>
                <w:sz w:val="22"/>
                <w:szCs w:val="22"/>
              </w:rPr>
              <w:t>תקנים, תוכניות, היתרים, תקציבי חירום</w:t>
            </w:r>
          </w:p>
        </w:tc>
        <w:tc>
          <w:tcPr>
            <w:tcW w:type="dxa" w:w="2041"/>
          </w:tcPr>
          <w:p>
            <w:pPr>
              <w:spacing w:line="276" w:lineRule="auto" w:after="40"/>
              <w:jc w:val="right"/>
            </w:pPr>
            <w:r>
              <w:rPr>
                <w:b w:val="0"/>
                <w:i w:val="0"/>
                <w:noProof/>
                <w:sz w:val="22"/>
                <w:szCs w:val="22"/>
              </w:rPr>
              <w:t>סמכות ותקציבים ייעודיים</w:t>
            </w:r>
          </w:p>
        </w:tc>
        <w:tc>
          <w:tcPr>
            <w:tcW w:type="dxa" w:w="2835"/>
          </w:tcPr>
          <w:p>
            <w:pPr>
              <w:spacing w:line="276" w:lineRule="auto" w:after="40"/>
              <w:jc w:val="right"/>
            </w:pPr>
            <w:r>
              <w:rPr>
                <w:b w:val="0"/>
                <w:i w:val="0"/>
                <w:noProof/>
                <w:sz w:val="22"/>
                <w:szCs w:val="22"/>
              </w:rPr>
              <w:t>הפתרון הגיע "מתקציב שרק הוא ידע עליו" (ח'אלד)</w:t>
            </w:r>
          </w:p>
        </w:tc>
      </w:tr>
      <w:tr>
        <w:tc>
          <w:tcPr>
            <w:tcW w:type="dxa" w:w="1814"/>
          </w:tcPr>
          <w:p>
            <w:pPr>
              <w:spacing w:line="276" w:lineRule="auto" w:after="40"/>
              <w:jc w:val="right"/>
            </w:pPr>
            <w:r>
              <w:rPr>
                <w:b w:val="0"/>
                <w:i w:val="0"/>
                <w:noProof/>
                <w:sz w:val="22"/>
                <w:szCs w:val="22"/>
              </w:rPr>
              <w:t>הורים, ועדים ומשפחות</w:t>
            </w:r>
          </w:p>
        </w:tc>
        <w:tc>
          <w:tcPr>
            <w:tcW w:type="dxa" w:w="2381"/>
          </w:tcPr>
          <w:p>
            <w:pPr>
              <w:spacing w:line="276" w:lineRule="auto" w:after="40"/>
              <w:jc w:val="right"/>
            </w:pPr>
            <w:r>
              <w:rPr>
                <w:b w:val="0"/>
                <w:i w:val="0"/>
                <w:noProof/>
                <w:sz w:val="22"/>
                <w:szCs w:val="22"/>
              </w:rPr>
              <w:t>שיבוץ, תשלומים, תוכניות, בטיחות, נשירה</w:t>
            </w:r>
          </w:p>
        </w:tc>
        <w:tc>
          <w:tcPr>
            <w:tcW w:type="dxa" w:w="2041"/>
          </w:tcPr>
          <w:p>
            <w:pPr>
              <w:spacing w:line="276" w:lineRule="auto" w:after="40"/>
              <w:jc w:val="right"/>
            </w:pPr>
            <w:r>
              <w:rPr>
                <w:b w:val="0"/>
                <w:i w:val="0"/>
                <w:noProof/>
                <w:sz w:val="22"/>
                <w:szCs w:val="22"/>
              </w:rPr>
              <w:t>אי־שליחת ילדים, השפעה קהילתית</w:t>
            </w:r>
          </w:p>
        </w:tc>
        <w:tc>
          <w:tcPr>
            <w:tcW w:type="dxa" w:w="2835"/>
          </w:tcPr>
          <w:p>
            <w:pPr>
              <w:spacing w:line="276" w:lineRule="auto" w:after="40"/>
              <w:jc w:val="right"/>
            </w:pPr>
            <w:r>
              <w:rPr>
                <w:b w:val="0"/>
                <w:i w:val="0"/>
                <w:noProof/>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noProof/>
                <w:sz w:val="22"/>
                <w:szCs w:val="22"/>
              </w:rPr>
              <w:t>מורים וארגון המורים</w:t>
            </w:r>
          </w:p>
        </w:tc>
        <w:tc>
          <w:tcPr>
            <w:tcW w:type="dxa" w:w="2381"/>
          </w:tcPr>
          <w:p>
            <w:pPr>
              <w:spacing w:line="276" w:lineRule="auto" w:after="40"/>
              <w:jc w:val="right"/>
            </w:pPr>
            <w:r>
              <w:rPr>
                <w:b w:val="0"/>
                <w:i w:val="0"/>
                <w:noProof/>
                <w:sz w:val="22"/>
                <w:szCs w:val="22"/>
              </w:rPr>
              <w:t>מערכת, שעות, תפקידים, עבודה בחירום</w:t>
            </w:r>
          </w:p>
        </w:tc>
        <w:tc>
          <w:tcPr>
            <w:tcW w:type="dxa" w:w="2041"/>
          </w:tcPr>
          <w:p>
            <w:pPr>
              <w:spacing w:line="276" w:lineRule="auto" w:after="40"/>
              <w:jc w:val="right"/>
            </w:pPr>
            <w:r>
              <w:rPr>
                <w:b w:val="0"/>
                <w:i w:val="0"/>
                <w:noProof/>
                <w:sz w:val="22"/>
                <w:szCs w:val="22"/>
              </w:rPr>
              <w:t>מחסור במחליפים, גיבוי ארצי</w:t>
            </w:r>
          </w:p>
        </w:tc>
        <w:tc>
          <w:tcPr>
            <w:tcW w:type="dxa" w:w="2835"/>
          </w:tcPr>
          <w:p>
            <w:pPr>
              <w:spacing w:line="276" w:lineRule="auto" w:after="40"/>
              <w:jc w:val="right"/>
            </w:pPr>
            <w:r>
              <w:rPr>
                <w:b w:val="0"/>
                <w:i w:val="0"/>
                <w:noProof/>
                <w:sz w:val="22"/>
                <w:szCs w:val="22"/>
              </w:rPr>
              <w:t>"הכוח הפורמלי שלי הוא הנכס הכי פחות שימושי" (רנא)</w:t>
            </w:r>
          </w:p>
        </w:tc>
      </w:tr>
      <w:tr>
        <w:tc>
          <w:tcPr>
            <w:tcW w:type="dxa" w:w="1814"/>
          </w:tcPr>
          <w:p>
            <w:pPr>
              <w:spacing w:line="276" w:lineRule="auto" w:after="40"/>
              <w:jc w:val="right"/>
            </w:pPr>
            <w:r>
              <w:rPr>
                <w:b w:val="0"/>
                <w:i w:val="0"/>
                <w:noProof/>
                <w:sz w:val="22"/>
                <w:szCs w:val="22"/>
              </w:rPr>
              <w:t>ספקים</w:t>
            </w:r>
          </w:p>
        </w:tc>
        <w:tc>
          <w:tcPr>
            <w:tcW w:type="dxa" w:w="2381"/>
          </w:tcPr>
          <w:p>
            <w:pPr>
              <w:spacing w:line="276" w:lineRule="auto" w:after="40"/>
              <w:jc w:val="right"/>
            </w:pPr>
            <w:r>
              <w:rPr>
                <w:b w:val="0"/>
                <w:i w:val="0"/>
                <w:noProof/>
                <w:sz w:val="22"/>
                <w:szCs w:val="22"/>
              </w:rPr>
              <w:t>מחיר, איכות, פיצוי</w:t>
            </w:r>
          </w:p>
        </w:tc>
        <w:tc>
          <w:tcPr>
            <w:tcW w:type="dxa" w:w="2041"/>
          </w:tcPr>
          <w:p>
            <w:pPr>
              <w:spacing w:line="276" w:lineRule="auto" w:after="40"/>
              <w:jc w:val="right"/>
            </w:pPr>
            <w:r>
              <w:rPr>
                <w:b w:val="0"/>
                <w:i w:val="0"/>
                <w:noProof/>
                <w:sz w:val="22"/>
                <w:szCs w:val="22"/>
              </w:rPr>
              <w:t>ניסיון ותחלופה בשוק</w:t>
            </w:r>
          </w:p>
        </w:tc>
        <w:tc>
          <w:tcPr>
            <w:tcW w:type="dxa" w:w="2835"/>
          </w:tcPr>
          <w:p>
            <w:pPr>
              <w:spacing w:line="276" w:lineRule="auto" w:after="40"/>
              <w:jc w:val="right"/>
            </w:pPr>
            <w:r>
              <w:rPr>
                <w:b w:val="0"/>
                <w:i w:val="0"/>
                <w:noProof/>
                <w:sz w:val="22"/>
                <w:szCs w:val="22"/>
              </w:rPr>
              <w:t>"מול ספק אפשר ומותר להיות קשוחה" (רנא)</w:t>
            </w:r>
          </w:p>
        </w:tc>
      </w:tr>
      <w:tr>
        <w:tc>
          <w:tcPr>
            <w:tcW w:type="dxa" w:w="1814"/>
          </w:tcPr>
          <w:p>
            <w:pPr>
              <w:spacing w:line="276" w:lineRule="auto" w:after="40"/>
              <w:jc w:val="right"/>
            </w:pPr>
            <w:r>
              <w:rPr>
                <w:b w:val="0"/>
                <w:i w:val="0"/>
                <w:noProof/>
                <w:sz w:val="22"/>
                <w:szCs w:val="22"/>
              </w:rPr>
              <w:t>המשטרה וקב"ט העירייה</w:t>
            </w:r>
          </w:p>
        </w:tc>
        <w:tc>
          <w:tcPr>
            <w:tcW w:type="dxa" w:w="2381"/>
          </w:tcPr>
          <w:p>
            <w:pPr>
              <w:spacing w:line="276" w:lineRule="auto" w:after="40"/>
              <w:jc w:val="right"/>
            </w:pPr>
            <w:r>
              <w:rPr>
                <w:b w:val="0"/>
                <w:i w:val="0"/>
                <w:noProof/>
                <w:sz w:val="22"/>
                <w:szCs w:val="22"/>
              </w:rPr>
              <w:t>אבטחה, נוהל לשעת אירוע</w:t>
            </w:r>
          </w:p>
        </w:tc>
        <w:tc>
          <w:tcPr>
            <w:tcW w:type="dxa" w:w="2041"/>
          </w:tcPr>
          <w:p>
            <w:pPr>
              <w:spacing w:line="276" w:lineRule="auto" w:after="40"/>
              <w:jc w:val="right"/>
            </w:pPr>
            <w:r>
              <w:rPr>
                <w:b w:val="0"/>
                <w:i w:val="0"/>
                <w:noProof/>
                <w:sz w:val="22"/>
                <w:szCs w:val="22"/>
              </w:rPr>
              <w:t>סמכות וקריטריונים לאבטחה</w:t>
            </w:r>
          </w:p>
        </w:tc>
        <w:tc>
          <w:tcPr>
            <w:tcW w:type="dxa" w:w="2835"/>
          </w:tcPr>
          <w:p>
            <w:pPr>
              <w:spacing w:line="276" w:lineRule="auto" w:after="40"/>
              <w:jc w:val="right"/>
            </w:pPr>
            <w:r>
              <w:rPr>
                <w:b w:val="0"/>
                <w:i w:val="0"/>
                <w:noProof/>
                <w:sz w:val="22"/>
                <w:szCs w:val="22"/>
              </w:rPr>
              <w:t>"גורמים שאני לא בחרתי בהם" (אמאני)</w:t>
            </w:r>
          </w:p>
        </w:tc>
      </w:tr>
    </w:tbl>
    <w:p/>
    <w:p>
      <w:r>
        <w:rPr>
          <w:noProof/>
        </w:rPr>
        <w:br w:type="page"/>
      </w:r>
    </w:p>
    <w:p>
      <w:pPr>
        <w:pStyle w:val="Heading1"/>
      </w:pPr>
      <w:r>
        <w:rPr>
          <w:noProof/>
        </w:rPr>
        <w:t>סקירת ספרות</w:t>
      </w:r>
    </w:p>
    <w:p>
      <w:r>
        <w:rPr>
          <w:b w:val="0"/>
          <w:i w:val="0"/>
          <w:noProof/>
        </w:rPr>
        <w:t>סקירה זו מציגה את חמש המסגרות שעליהן נשען הניתוח בפרקים הבאים: ההבחנה בין משא ומתן חלוקתי לאינטגרטיבי, מודל המשא ומתן על פי עקרונות, מודל העניין הכפול, תורת המשחקים, והטיות קוגניטיביות במשא ומתן. כל המסגרות נלמדו בקורס (הוכמן, 2026), ובסוף הסקירה מוצג הקשר בין תרבות ארגונית להתנהגות במשא ומתן, שהוא הבסיס לפרק התרבות.</w:t>
      </w:r>
    </w:p>
    <w:p>
      <w:pPr>
        <w:pStyle w:val="Heading2"/>
      </w:pPr>
      <w:r>
        <w:rPr>
          <w:noProof/>
        </w:rPr>
        <w:t>משא ומתן חלוקתי ומשא ומתן אינטגרטיבי</w:t>
      </w:r>
    </w:p>
    <w:p>
      <w:r>
        <w:rPr>
          <w:b w:val="0"/>
          <w:i w:val="0"/>
          <w:noProof/>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noProof/>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noProof/>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rPr>
          <w:noProof/>
        </w:rPr>
        <w:t>משא ומתן על פי עקרונות</w:t>
      </w:r>
    </w:p>
    <w:p>
      <w:r>
        <w:rPr>
          <w:b w:val="0"/>
          <w:i w:val="0"/>
          <w:noProof/>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noProof/>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rPr>
          <w:noProof/>
        </w:rPr>
        <w:t>מודל העניין הכפול וסגנונות ניהול קונפליקט</w:t>
      </w:r>
    </w:p>
    <w:p>
      <w:r>
        <w:rPr>
          <w:b w:val="0"/>
          <w:i w:val="0"/>
          <w:noProof/>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noProof/>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rPr>
          <w:noProof/>
        </w:rPr>
        <w:t>תורת המשחקים: דילמת האסיר ושיקולי הוגנות</w:t>
      </w:r>
    </w:p>
    <w:p>
      <w:r>
        <w:rPr>
          <w:b w:val="0"/>
          <w:i w:val="0"/>
          <w:noProof/>
        </w:rPr>
        <w:t>תורת המשחקים מנתחת מצבים של עימות ושל שיתוף פעולה בין מקבלי החלטות בעלי רצונות שונים, ומתארת משא ומתן כמשחק שבו כל שחקן מנסה לחזות כיצד יגיב הצד השני (רייכרד, 2019, כפי שמצוטט אצל הוכמן, 2026). דילמת האסיר, שהוצגה בקורס, מראה מצב שבו התנהגות רציונלית לחלוטין מנקודת המבט של כל צד מובילה לתוצאה שאינה אופטימלית לשניהם (הוכמן, 2026). הקורס הדגיש גם ממצא נוסף: אנשים אינם פועלים רק משיקולים רציונליים אלא גם משיקולי הוגנות, ודוחים הצעה שנתפסת בעיניהם כמעליבה גם כאשר הדחייה עולה להם (הוכמן, 2026).</w:t>
      </w:r>
    </w:p>
    <w:p>
      <w:r>
        <w:rPr>
          <w:b w:val="0"/>
          <w:i w:val="0"/>
          <w:noProof/>
        </w:rPr>
        <w:t>בארגון, רוב המשחקים הם משחקים חוזרים: אותם צדדים נפגשים שוב ושוב, ולכן המוניטין והאמון שנבנים בסבב אחד משפיעים על הסבב הבא. Elgoibar ועמיתיו (Elgoibar et al., 2021) מצאו שאמון בנציגי הצד השני מגדיל את השפעתם על ההחלטות, וזה מסביר מדוע במשחק חוזר כדאי לשחקן לוותר לעיתים על רווח מיידי כדי לשמור על אמינותו.</w:t>
      </w:r>
    </w:p>
    <w:p>
      <w:pPr>
        <w:pStyle w:val="Heading2"/>
      </w:pPr>
      <w:r>
        <w:rPr>
          <w:noProof/>
        </w:rPr>
        <w:t>הטיות קוגניטיביות במשא ומתן</w:t>
      </w:r>
    </w:p>
    <w:p>
      <w:r>
        <w:rPr>
          <w:b w:val="0"/>
          <w:i w:val="0"/>
          <w:noProof/>
        </w:rPr>
        <w:t>אחד מנושאי הקורס הוא ההטיות הקוגניטיביות של הנושאים והנותנים, וכיצד ניתן להתגבר עליהן (הוכמן, 2026). הטיית העיגון היא המוכרת ביותר: המספר הראשון שעולה בשיחה משפיע על כל ההצעות שאחריו, ולכן להצעה הראשונה יש השפעה רבה על התוצאה (Lipp et al., 2023). Maaravi ו־Levy (Maaravi &amp; Levy, 2017) הראו שהיתרון הזה אינו מוחלט: כאשר לצד אחד חסר מידע, ההצעה הראשונה חושפת מידע ומעניקה יתרון דווקא לצד שמגיב.</w:t>
      </w:r>
    </w:p>
    <w:p>
      <w:r>
        <w:rPr>
          <w:b w:val="0"/>
          <w:i w:val="0"/>
          <w:noProof/>
        </w:rPr>
        <w:t>הטיות נוספות שנידונו בקורס הן הטיית "העוגה הקבועה", כלומר ההנחה שמה שצד אחד מרוויח השני מפסיד בהכרח, וייחוס כוונות רעות לצד השני על סמך התנהגותו. שתיהן דוחפות את הנושאים והנותנים לגישה חלוקתית גם כאשר קיים פתרון אינטגרטיבי. הדרך להתגבר עליהן היא להפריד בין האנשים לבעיה ולהביא קריטריונים אובייקטיביים (פישר ואחרים, 2013).</w:t>
      </w:r>
    </w:p>
    <w:p>
      <w:pPr>
        <w:pStyle w:val="Heading2"/>
      </w:pPr>
      <w:r>
        <w:rPr>
          <w:noProof/>
        </w:rPr>
        <w:t>תרבות ארגונית ומשא ומתן</w:t>
      </w:r>
    </w:p>
    <w:p>
      <w:r>
        <w:rPr>
          <w:b w:val="0"/>
          <w:i w:val="0"/>
          <w:noProof/>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noProof/>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rPr>
          <w:noProof/>
        </w:rPr>
        <w:br w:type="page"/>
      </w:r>
    </w:p>
    <w:p>
      <w:pPr>
        <w:pStyle w:val="Heading1"/>
      </w:pPr>
      <w:r>
        <w:rPr>
          <w:noProof/>
        </w:rPr>
        <w:t>ניתוח דוגמאות משא ומתן לפי תיאוריות</w:t>
      </w:r>
    </w:p>
    <w:p>
      <w:r>
        <w:rPr>
          <w:b w:val="0"/>
          <w:i w:val="0"/>
          <w:noProof/>
        </w:rPr>
        <w:t>בפרק זה נותחו עשר דוגמאות, שתיים לכל אחת מחמש תיאוריות. בכל מקרה פורקו התפישות, העמדות והאינטרסים, וזוהו ה־BATNA וה־ZOPA. ה־BATNA וה־ZOPA אינן תיאוריות אלא כלי ניתוח (הוכמן, 2026). הקווים האדומים והחלופות מובאים כפי שהמרואיינים תיארו אותם, גם לגבי הצד השני.</w:t>
      </w:r>
    </w:p>
    <w:p>
      <w:pPr>
        <w:pStyle w:val="Heading2"/>
      </w:pPr>
      <w:r>
        <w:rPr>
          <w:noProof/>
        </w:rPr>
        <w:t>תיאוריה 1: משא ומתן חלוקתי מול משא ומתן אינטגרטיבי</w:t>
      </w:r>
    </w:p>
    <w:p>
      <w:pPr>
        <w:pStyle w:val="Heading3"/>
      </w:pPr>
      <w:r>
        <w:rPr>
          <w:noProof/>
        </w:rPr>
        <w:t>דוגמה 1: רנא מול ספק תוכנית התגבור במתמטיקה</w:t>
      </w:r>
    </w:p>
    <w:p>
      <w:r>
        <w:rPr>
          <w:b w:val="0"/>
          <w:i w:val="0"/>
          <w:noProof/>
        </w:rPr>
        <w:t>החוזה עם החברה שמפעילה את תוכנית התגבור הסתיים, והחברה ביקשה להעלות את המחיר לשעה בשלושים אחוזים בשל עליית שכר המורים בשוק. רנא,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חברת התגבור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חברה שמנצלת את המחסור במורים כדי לגבות יותר</w:t>
            </w:r>
          </w:p>
        </w:tc>
        <w:tc>
          <w:tcPr>
            <w:tcW w:type="dxa" w:w="3685"/>
          </w:tcPr>
          <w:p>
            <w:pPr>
              <w:spacing w:line="276" w:lineRule="auto" w:after="40"/>
              <w:jc w:val="right"/>
            </w:pPr>
            <w:r>
              <w:rPr>
                <w:b w:val="0"/>
                <w:i w:val="0"/>
                <w:noProof/>
                <w:sz w:val="22"/>
                <w:szCs w:val="22"/>
              </w:rPr>
              <w:t>לקוחה נוחה שתמיד חידשה ולא תעז לעזוב</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אותו מחיר, 10 קבוצות של 6, מדריכים מוסמכים, קנס על ביטול</w:t>
            </w:r>
          </w:p>
        </w:tc>
        <w:tc>
          <w:tcPr>
            <w:tcW w:type="dxa" w:w="3685"/>
          </w:tcPr>
          <w:p>
            <w:pPr>
              <w:spacing w:line="276" w:lineRule="auto" w:after="40"/>
              <w:jc w:val="right"/>
            </w:pPr>
            <w:r>
              <w:rPr>
                <w:b w:val="0"/>
                <w:i w:val="0"/>
                <w:noProof/>
                <w:sz w:val="22"/>
                <w:szCs w:val="22"/>
              </w:rPr>
              <w:t>העלאה של 30%, 8 קבוצות של 8, ללא סעיף פיצוי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noProof/>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noProof/>
                <w:sz w:val="22"/>
                <w:szCs w:val="22"/>
              </w:rPr>
              <w:t>אובדן הלקוח ושמונה מדריכים ללא עבודה בקיץ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העלאה של עד 10%, קבוצות של עד 6</w:t>
            </w:r>
          </w:p>
        </w:tc>
        <w:tc>
          <w:tcPr>
            <w:tcW w:type="dxa" w:w="3685"/>
          </w:tcPr>
          <w:p>
            <w:pPr>
              <w:spacing w:line="276" w:lineRule="auto" w:after="40"/>
              <w:jc w:val="right"/>
            </w:pPr>
            <w:r>
              <w:rPr>
                <w:b w:val="0"/>
                <w:i w:val="0"/>
                <w:noProof/>
                <w:sz w:val="22"/>
                <w:szCs w:val="22"/>
              </w:rPr>
              <w:t>כ־8% מעל המחיר הישן; אין סעיף שמנוסח כקנס</w:t>
            </w:r>
          </w:p>
        </w:tc>
      </w:tr>
    </w:tbl>
    <w:p/>
    <w:p>
      <w:r>
        <w:rPr>
          <w:b/>
          <w:bCs/>
          <w:i w:val="0"/>
          <w:noProof/>
        </w:rPr>
        <w:t>ZOPA:</w:t>
      </w:r>
      <w:r>
        <w:rPr>
          <w:b w:val="0"/>
          <w:i w:val="0"/>
          <w:noProof/>
        </w:rPr>
        <w:t xml:space="preserve"> טווח חיובי וצר, בין העלאה של 8% ל־10%. ההסכם נסגר על 9%, עשר קבוצות של שישה, ו"זיכוי" של שיעור חינם על כל ביטול ועל כל החלפת מדריך.</w:t>
      </w:r>
    </w:p>
    <w:p>
      <w:r>
        <w:rPr>
          <w:b/>
          <w:bCs/>
          <w:i w:val="0"/>
          <w:noProof/>
        </w:rPr>
        <w:t>ניתוח:</w:t>
      </w:r>
      <w:r>
        <w:rPr>
          <w:b w:val="0"/>
          <w:i w:val="0"/>
          <w:noProof/>
        </w:rPr>
        <w:t xml:space="preserve"> בבסיסו זה משא ומתן חלוקתי על מחיר, ורנא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לרנא היה חשוב ההרתעה, ולחברה היה חשוב שלא ייווצר תקדים של קנס. הזיכוי סיפק את שני האינטרסים, או כלשונה של רנא:</w:t>
      </w:r>
    </w:p>
    <w:p>
      <w:pPr>
        <w:ind w:right="709" w:left="709"/>
      </w:pPr>
      <w:r>
        <w:rPr>
          <w:b w:val="0"/>
          <w:i w:val="0"/>
          <w:noProof/>
        </w:rPr>
        <w:t>מבחינת התוצאה זה בדיוק מה שרציתי, ומבחינת המילים זה מה שהם היו צריכים.</w:t>
      </w:r>
    </w:p>
    <w:p>
      <w:r>
        <w:rPr>
          <w:b w:val="0"/>
          <w:i w:val="0"/>
          <w:noProof/>
        </w:rPr>
        <w:t>רנא עצמה מציינת שהתזמון פגע בה: הלחץ של יולי היה גם עליה, ולדעתה חודש נוסף היה מביא אותה ל־7%. מכאן שה־BATNA, החלופה הטובה ביותר להסכם (הוכמן, 2026), חזקה רק כשיש זמן לממש אותה.</w:t>
      </w:r>
    </w:p>
    <w:p>
      <w:pPr>
        <w:pStyle w:val="Heading3"/>
      </w:pPr>
      <w:r>
        <w:rPr>
          <w:noProof/>
        </w:rPr>
        <w:t>דוגמה 2: סמיר מול עיריית טייבה על אגף כיתות חדש</w:t>
      </w:r>
    </w:p>
    <w:p>
      <w:r>
        <w:rPr>
          <w:b w:val="0"/>
          <w:i w:val="0"/>
          <w:noProof/>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עיריית טייבה (ראש העיר, מחלקת החינוך, הגזבר)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שמחלק לפי פוליטיקה ולא לפי צרכים</w:t>
            </w:r>
          </w:p>
        </w:tc>
        <w:tc>
          <w:tcPr>
            <w:tcW w:type="dxa" w:w="3685"/>
          </w:tcPr>
          <w:p>
            <w:pPr>
              <w:spacing w:line="276" w:lineRule="auto" w:after="40"/>
              <w:jc w:val="right"/>
            </w:pPr>
            <w:r>
              <w:rPr>
                <w:b w:val="0"/>
                <w:i w:val="0"/>
                <w:noProof/>
                <w:sz w:val="22"/>
                <w:szCs w:val="22"/>
              </w:rPr>
              <w:t>מנהל "צעקן" שלא מבין את האילוצים</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6 כיתות, חדר מדעים, התחלה מיידית, קרוונים זמניים</w:t>
            </w:r>
          </w:p>
        </w:tc>
        <w:tc>
          <w:tcPr>
            <w:tcW w:type="dxa" w:w="3685"/>
          </w:tcPr>
          <w:p>
            <w:pPr>
              <w:spacing w:line="276" w:lineRule="auto" w:after="40"/>
              <w:jc w:val="right"/>
            </w:pPr>
            <w:r>
              <w:rPr>
                <w:b w:val="0"/>
                <w:i w:val="0"/>
                <w:noProof/>
                <w:sz w:val="22"/>
                <w:szCs w:val="22"/>
              </w:rPr>
              <w:t>2 כיתות, ללא כסף עירוני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בטיחות ורווחה, פדגוגיה, ואמון של הצוות וההורים</w:t>
            </w:r>
          </w:p>
        </w:tc>
        <w:tc>
          <w:tcPr>
            <w:tcW w:type="dxa" w:w="3685"/>
          </w:tcPr>
          <w:p>
            <w:pPr>
              <w:spacing w:line="276" w:lineRule="auto" w:after="40"/>
              <w:jc w:val="right"/>
            </w:pPr>
            <w:r>
              <w:rPr>
                <w:b w:val="0"/>
                <w:i w:val="0"/>
                <w:noProof/>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noProof/>
                <w:sz w:val="22"/>
                <w:szCs w:val="22"/>
              </w:rPr>
              <w:t>לבנות בבית ספר אחר, חלופה טובה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מ־3 כיתות; אין בנייה בלי פתרון לזמן העבודות</w:t>
            </w:r>
          </w:p>
        </w:tc>
        <w:tc>
          <w:tcPr>
            <w:tcW w:type="dxa" w:w="3685"/>
          </w:tcPr>
          <w:p>
            <w:pPr>
              <w:spacing w:line="276" w:lineRule="auto" w:after="40"/>
              <w:jc w:val="right"/>
            </w:pPr>
            <w:r>
              <w:rPr>
                <w:b w:val="0"/>
                <w:i w:val="0"/>
                <w:noProof/>
                <w:sz w:val="22"/>
                <w:szCs w:val="22"/>
              </w:rPr>
              <w:t>אין כסף עירוני; אף בית ספר לא יוצא בלי כלום</w:t>
            </w:r>
          </w:p>
        </w:tc>
      </w:tr>
    </w:tbl>
    <w:p/>
    <w:p>
      <w:r>
        <w:rPr>
          <w:b/>
          <w:bCs/>
          <w:i w:val="0"/>
          <w:noProof/>
        </w:rPr>
        <w:t>ZOPA:</w:t>
      </w:r>
      <w:r>
        <w:rPr>
          <w:b w:val="0"/>
          <w:i w:val="0"/>
          <w:noProof/>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noProof/>
        </w:rPr>
        <w:t>ניתוח:</w:t>
      </w:r>
      <w:r>
        <w:rPr>
          <w:b w:val="0"/>
          <w:i w:val="0"/>
          <w:noProof/>
        </w:rPr>
        <w:t xml:space="preserve"> בשלב הראשון זה היה משא ומתן חלוקתי קלאסי: שש מול שתיים, ושני הצדדים ידעו שאלה עמדות פתיחה (גלין, 1996, כפי שמצוטט אצל הוכמן, 2026).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noProof/>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rPr>
          <w:noProof/>
        </w:rPr>
        <w:t>תיאוריה 2: משא ומתן על פי עקרונות (פישר, יורי ופאטון)</w:t>
      </w:r>
    </w:p>
    <w:p>
      <w:pPr>
        <w:pStyle w:val="Heading3"/>
      </w:pPr>
      <w:r>
        <w:rPr>
          <w:noProof/>
        </w:rPr>
        <w:t>דוגמה 3: סמיר מול ועד ההורים על תוכנית העשרה</w:t>
      </w:r>
    </w:p>
    <w:p>
      <w:r>
        <w:rPr>
          <w:b w:val="0"/>
          <w:i w:val="0"/>
          <w:noProof/>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להראות כוח</w:t>
            </w:r>
          </w:p>
        </w:tc>
        <w:tc>
          <w:tcPr>
            <w:tcW w:type="dxa" w:w="3685"/>
          </w:tcPr>
          <w:p>
            <w:pPr>
              <w:spacing w:line="276" w:lineRule="auto" w:after="40"/>
              <w:jc w:val="right"/>
            </w:pPr>
            <w:r>
              <w:rPr>
                <w:b w:val="0"/>
                <w:i w:val="0"/>
                <w:noProof/>
                <w:sz w:val="22"/>
                <w:szCs w:val="22"/>
              </w:rPr>
              <w:t>מנהל שמחליט לבד ובא לקבל חותמת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3 חוגים, 280 ש"ח, החברה שנבחרה</w:t>
            </w:r>
          </w:p>
        </w:tc>
        <w:tc>
          <w:tcPr>
            <w:tcW w:type="dxa" w:w="3685"/>
          </w:tcPr>
          <w:p>
            <w:pPr>
              <w:spacing w:line="276" w:lineRule="auto" w:after="40"/>
              <w:jc w:val="right"/>
            </w:pPr>
            <w:r>
              <w:rPr>
                <w:b w:val="0"/>
                <w:i w:val="0"/>
                <w:noProof/>
                <w:sz w:val="22"/>
                <w:szCs w:val="22"/>
              </w:rPr>
              <w:t>לכל היותר 150 ש"ח (מחיר המתנ"ס), הוועד בוחר את החברה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 תדמית מתקדמת</w:t>
            </w:r>
          </w:p>
        </w:tc>
        <w:tc>
          <w:tcPr>
            <w:tcW w:type="dxa" w:w="3685"/>
          </w:tcPr>
          <w:p>
            <w:pPr>
              <w:spacing w:line="276" w:lineRule="auto" w:after="40"/>
              <w:jc w:val="right"/>
            </w:pPr>
            <w:r>
              <w:rPr>
                <w:b w:val="0"/>
                <w:i w:val="0"/>
                <w:noProof/>
                <w:sz w:val="22"/>
                <w:szCs w:val="22"/>
              </w:rPr>
              <w:t>שוויון בין הילדים, כבוד ומעמד הוועד, הגנה משפטית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noProof/>
                <w:sz w:val="22"/>
                <w:szCs w:val="22"/>
              </w:rPr>
              <w:t>להורות להורים לא להירשם; לבקש תוכנית עירונית</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חברה עם ניסיון, מדריכים מוסמכים, לא פחות מ־200 ש"ח</w:t>
            </w:r>
          </w:p>
        </w:tc>
        <w:tc>
          <w:tcPr>
            <w:tcW w:type="dxa" w:w="3685"/>
          </w:tcPr>
          <w:p>
            <w:pPr>
              <w:spacing w:line="276" w:lineRule="auto" w:after="40"/>
              <w:jc w:val="right"/>
            </w:pPr>
            <w:r>
              <w:rPr>
                <w:b w:val="0"/>
                <w:i w:val="0"/>
                <w:noProof/>
                <w:sz w:val="22"/>
                <w:szCs w:val="22"/>
              </w:rPr>
              <w:t>אף ילד לא נשאר בחוץ בגלל כסף; הוועד בודק את החברה</w:t>
            </w:r>
          </w:p>
        </w:tc>
      </w:tr>
    </w:tbl>
    <w:p/>
    <w:p>
      <w:r>
        <w:rPr>
          <w:b/>
          <w:bCs/>
          <w:i w:val="0"/>
          <w:noProof/>
        </w:rPr>
        <w:t>ZOPA:</w:t>
      </w:r>
      <w:r>
        <w:rPr>
          <w:b w:val="0"/>
          <w:i w:val="0"/>
          <w:noProof/>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noProof/>
        </w:rPr>
        <w:t>ניתוח:</w:t>
      </w:r>
      <w:r>
        <w:rPr>
          <w:b w:val="0"/>
          <w:i w:val="0"/>
          <w:noProof/>
        </w:rPr>
        <w:t xml:space="preserve"> המקרה מדגים את ארבעת עקרונות המודל (פישר ואחרים, 2013). </w:t>
      </w:r>
      <w:r>
        <w:rPr>
          <w:b/>
          <w:bCs/>
          <w:i w:val="0"/>
          <w:noProof/>
        </w:rPr>
        <w:t>הפרדת האנשים מהבעיה:</w:t>
      </w:r>
      <w:r>
        <w:rPr>
          <w:b w:val="0"/>
          <w:i w:val="0"/>
          <w:noProof/>
        </w:rPr>
        <w:t xml:space="preserve"> סמיר פתח את הפגישה השנייה בהודאה שטעה בסדר הפעולות, וזה נטרל את ההאשמה. </w:t>
      </w:r>
      <w:r>
        <w:rPr>
          <w:b/>
          <w:bCs/>
          <w:i w:val="0"/>
          <w:noProof/>
        </w:rPr>
        <w:t>אינטרסים ולא עמדות:</w:t>
      </w:r>
      <w:r>
        <w:rPr>
          <w:b w:val="0"/>
          <w:i w:val="0"/>
          <w:noProof/>
        </w:rPr>
        <w:t xml:space="preserve"> הוא הבין שהוויכוח על המחיר הוא "בעצם ויכוח על שוויון ועל כבוד". </w:t>
      </w:r>
      <w:r>
        <w:rPr>
          <w:b/>
          <w:bCs/>
          <w:i w:val="0"/>
          <w:noProof/>
        </w:rPr>
        <w:t>אופציות לרווח הדדי:</w:t>
      </w:r>
      <w:r>
        <w:rPr>
          <w:b w:val="0"/>
          <w:i w:val="0"/>
          <w:noProof/>
        </w:rPr>
        <w:t xml:space="preserve"> המלגות, שלא היו ברעיון המקורי, ומימון חלקי שלהן ממחלקת הרווחה, שהוכנסה כצד שלישי. </w:t>
      </w:r>
      <w:r>
        <w:rPr>
          <w:b/>
          <w:bCs/>
          <w:i w:val="0"/>
          <w:noProof/>
        </w:rPr>
        <w:t>קריטריונים אובייקטיביים:</w:t>
      </w:r>
      <w:r>
        <w:rPr>
          <w:b w:val="0"/>
          <w:i w:val="0"/>
          <w:noProof/>
        </w:rPr>
        <w:t xml:space="preserve"> השוואת מחירים בשלושה בתי ספר ובמתנ"ס, מול נתוני הרווחה על משפחות מתחת לקו העוני, וטבלת עלויות מול הכנסות שבנה גזבר הוועד.</w:t>
      </w:r>
    </w:p>
    <w:p>
      <w:r>
        <w:rPr>
          <w:b w:val="0"/>
          <w:i w:val="0"/>
          <w:noProof/>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rPr>
          <w:noProof/>
        </w:rPr>
        <w:t>דוגמה 4: רנא מול צוות המורים על ההוראה בזמן המלחמה</w:t>
      </w:r>
    </w:p>
    <w:p>
      <w:r>
        <w:rPr>
          <w:b w:val="0"/>
          <w:i w:val="0"/>
          <w:noProof/>
        </w:rPr>
        <w:t>כשבית הספר עבר למתכונת חלקית, רנא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צוות המורים ונציגות ארגון 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נציגות שמחפשת להקטין עבודה</w:t>
            </w:r>
          </w:p>
        </w:tc>
        <w:tc>
          <w:tcPr>
            <w:tcW w:type="dxa" w:w="3685"/>
          </w:tcPr>
          <w:p>
            <w:pPr>
              <w:spacing w:line="276" w:lineRule="auto" w:after="40"/>
              <w:jc w:val="right"/>
            </w:pPr>
            <w:r>
              <w:rPr>
                <w:b w:val="0"/>
                <w:i w:val="0"/>
                <w:noProof/>
                <w:sz w:val="22"/>
                <w:szCs w:val="22"/>
              </w:rPr>
              <w:t>מנהלת שמחוברת לעירייה ולפיקוח יותר מאשר לצוות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הגעה מלאה בכל יום, מלוא השעות, זמינות אחר הצהריים</w:t>
            </w:r>
          </w:p>
        </w:tc>
        <w:tc>
          <w:tcPr>
            <w:tcW w:type="dxa" w:w="3685"/>
          </w:tcPr>
          <w:p>
            <w:pPr>
              <w:spacing w:line="276" w:lineRule="auto" w:after="40"/>
              <w:jc w:val="right"/>
            </w:pPr>
            <w:r>
              <w:rPr>
                <w:b w:val="0"/>
                <w:i w:val="0"/>
                <w:noProof/>
                <w:sz w:val="22"/>
                <w:szCs w:val="22"/>
              </w:rPr>
              <w:t>הוראה מהבית, זום כשיעור מלא, ללא זמינות מחייבת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noProof/>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לחייב הגעה לפי ההנחיות ולדווח למחוז (חוקי אך גרוע)</w:t>
            </w:r>
          </w:p>
        </w:tc>
        <w:tc>
          <w:tcPr>
            <w:tcW w:type="dxa" w:w="3685"/>
          </w:tcPr>
          <w:p>
            <w:pPr>
              <w:spacing w:line="276" w:lineRule="auto" w:after="40"/>
              <w:jc w:val="right"/>
            </w:pPr>
            <w:r>
              <w:rPr>
                <w:b w:val="0"/>
                <w:i w:val="0"/>
                <w:noProof/>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בית הספר פתוח כל יום; אף כיתה לא בלי מורה לשבוע</w:t>
            </w:r>
          </w:p>
        </w:tc>
        <w:tc>
          <w:tcPr>
            <w:tcW w:type="dxa" w:w="3685"/>
          </w:tcPr>
          <w:p>
            <w:pPr>
              <w:spacing w:line="276" w:lineRule="auto" w:after="40"/>
              <w:jc w:val="right"/>
            </w:pPr>
            <w:r>
              <w:rPr>
                <w:b w:val="0"/>
                <w:i w:val="0"/>
                <w:noProof/>
                <w:sz w:val="22"/>
                <w:szCs w:val="22"/>
              </w:rPr>
              <w:t>אין חובת הגעה בזמן אזעקות למי שיכול ללמד מהבית; הסדר זמני בלבד</w:t>
            </w:r>
          </w:p>
        </w:tc>
      </w:tr>
    </w:tbl>
    <w:p/>
    <w:p>
      <w:r>
        <w:rPr>
          <w:b/>
          <w:bCs/>
          <w:i w:val="0"/>
          <w:noProof/>
        </w:rPr>
        <w:t>ZOPA:</w:t>
      </w:r>
      <w:r>
        <w:rPr>
          <w:b w:val="0"/>
          <w:i w:val="0"/>
          <w:noProof/>
        </w:rPr>
        <w:t xml:space="preserve"> מרחב רחב יחסית: תורנויות, זום כשיעור מלא עם תיעוד, וכיסוי מילואים בחלוקת שעות. ההסכם, לדברי רנא, "ישב כמעט בדיוק באמצע המרחב הזה": כל מורה יומיים בבניין ושלושה בבית, קו חם של מתנדבות, ותאריך סיום שהוארך פעמיים.</w:t>
      </w:r>
    </w:p>
    <w:p>
      <w:r>
        <w:rPr>
          <w:b/>
          <w:bCs/>
          <w:i w:val="0"/>
          <w:noProof/>
        </w:rPr>
        <w:t>ניתוח:</w:t>
      </w:r>
      <w:r>
        <w:rPr>
          <w:b w:val="0"/>
          <w:i w:val="0"/>
          <w:noProof/>
        </w:rPr>
        <w:t xml:space="preserve"> נקודת המפנה הייתה קריטריון אובייקטיבי שרנא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noProof/>
        </w:rPr>
        <w:t>הפרדת האנשים מהבעיה, העיקרון הראשון במודל (פישר ואחרים, 2013), התרחשה במקרה, בערב שבו רנא נשארה עם ארבע מורות אחרי אזעקה ושמעה את הסיפורים האישיים שלהן. היא מסכמת:</w:t>
      </w:r>
    </w:p>
    <w:p>
      <w:pPr>
        <w:ind w:right="709" w:left="709"/>
      </w:pPr>
      <w:r>
        <w:rPr>
          <w:b w:val="0"/>
          <w:i w:val="0"/>
          <w:noProof/>
        </w:rPr>
        <w:t>למדתי מהמקרה הזה שמול הצוות שלי, הכוח הפורמלי שלי הוא הנכס הכי פחות שימושי שיש לי.</w:t>
      </w:r>
    </w:p>
    <w:p>
      <w:pPr>
        <w:pStyle w:val="Heading2"/>
      </w:pPr>
      <w:r>
        <w:rPr>
          <w:noProof/>
        </w:rPr>
        <w:t>תיאוריה 3: מודל העניין הכפול וסגנונות ניהול קונפליקט</w:t>
      </w:r>
    </w:p>
    <w:p>
      <w:pPr>
        <w:pStyle w:val="Heading3"/>
      </w:pPr>
      <w:r>
        <w:rPr>
          <w:noProof/>
        </w:rPr>
        <w:t>דוגמה 5: ח'אלד מול המועצה המקומית וחברת ההסעות</w:t>
      </w:r>
    </w:p>
    <w:p>
      <w:r>
        <w:rPr>
          <w:b w:val="0"/>
          <w:i w:val="0"/>
          <w:noProof/>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המועצה המקומית וחברת ההסעות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מועצה שמסתתרת מאחורי החוזה; חברה שמרוויחה על חשבון ילדים</w:t>
            </w:r>
          </w:p>
        </w:tc>
        <w:tc>
          <w:tcPr>
            <w:tcW w:type="dxa" w:w="3685"/>
          </w:tcPr>
          <w:p>
            <w:pPr>
              <w:spacing w:line="276" w:lineRule="auto" w:after="40"/>
              <w:jc w:val="right"/>
            </w:pPr>
            <w:r>
              <w:rPr>
                <w:b w:val="0"/>
                <w:i w:val="0"/>
                <w:noProof/>
                <w:sz w:val="22"/>
                <w:szCs w:val="22"/>
              </w:rPr>
              <w:t>"אתה מביא לי בעיות, לא פתרונות"; לקוח בלי סמכות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רכבי שטח, רכב גיבוי, דיווח יומי, קנסות</w:t>
            </w:r>
          </w:p>
        </w:tc>
        <w:tc>
          <w:tcPr>
            <w:tcW w:type="dxa" w:w="3685"/>
          </w:tcPr>
          <w:p>
            <w:pPr>
              <w:spacing w:line="276" w:lineRule="auto" w:after="40"/>
              <w:jc w:val="right"/>
            </w:pPr>
            <w:r>
              <w:rPr>
                <w:b w:val="0"/>
                <w:i w:val="0"/>
                <w:noProof/>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נשירה, שוויון לתלמידי הפזורה, מדדי נשירה וזכאות</w:t>
            </w:r>
          </w:p>
        </w:tc>
        <w:tc>
          <w:tcPr>
            <w:tcW w:type="dxa" w:w="3685"/>
          </w:tcPr>
          <w:p>
            <w:pPr>
              <w:spacing w:line="276" w:lineRule="auto" w:after="40"/>
              <w:jc w:val="right"/>
            </w:pPr>
            <w:r>
              <w:rPr>
                <w:b w:val="0"/>
                <w:i w:val="0"/>
                <w:noProof/>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noProof/>
                <w:sz w:val="22"/>
                <w:szCs w:val="22"/>
              </w:rPr>
              <w:t>המועצה: לחכות לקיץ; החברה: לספוג קנסות קטנים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noProof/>
                <w:sz w:val="22"/>
                <w:szCs w:val="22"/>
              </w:rPr>
              <w:t>המועצה: אין תוספת תקציב קבועה ואין ביטול מכרז; החברה: לא רכבי שטח על חשבונה</w:t>
            </w:r>
          </w:p>
        </w:tc>
      </w:tr>
    </w:tbl>
    <w:p/>
    <w:p>
      <w:r>
        <w:rPr>
          <w:b/>
          <w:bCs/>
          <w:i w:val="0"/>
          <w:noProof/>
        </w:rPr>
        <w:t>ZOPA:</w:t>
      </w:r>
      <w:r>
        <w:rPr>
          <w:b w:val="0"/>
          <w:i w:val="0"/>
          <w:noProof/>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noProof/>
        </w:rPr>
        <w:t>ניתוח:</w:t>
      </w:r>
      <w:r>
        <w:rPr>
          <w:b w:val="0"/>
          <w:i w:val="0"/>
          <w:noProof/>
        </w:rPr>
        <w:t xml:space="preserve"> לפי מודל העניין הכפול (Rahim, 1983, כפי שמצוטט אצל הוכמן, 2026),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noProof/>
        </w:rPr>
        <w:t>כשמשא ומתן תקוע על כסף, השאלה היא לא מי משלם אלא אם יש מישהו בחדר שיודע על כסף שאף אחד לא חשב עליו.</w:t>
      </w:r>
    </w:p>
    <w:p>
      <w:pPr>
        <w:pStyle w:val="Heading3"/>
      </w:pPr>
      <w:r>
        <w:rPr>
          <w:noProof/>
        </w:rPr>
        <w:t>דוגמה 6: ח'אלד מול משפחה של תלמידה שעומדת להתחתן</w:t>
      </w:r>
    </w:p>
    <w:p>
      <w:r>
        <w:rPr>
          <w:b w:val="0"/>
          <w:i w:val="0"/>
          <w:noProof/>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האב והדוד (ומאחוריהם משפחת החתן)</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אב שמקריב את בתו למסורת</w:t>
            </w:r>
          </w:p>
        </w:tc>
        <w:tc>
          <w:tcPr>
            <w:tcW w:type="dxa" w:w="3685"/>
          </w:tcPr>
          <w:p>
            <w:pPr>
              <w:spacing w:line="276" w:lineRule="auto" w:after="40"/>
              <w:jc w:val="right"/>
            </w:pPr>
            <w:r>
              <w:rPr>
                <w:b w:val="0"/>
                <w:i w:val="0"/>
                <w:noProof/>
                <w:sz w:val="22"/>
                <w:szCs w:val="22"/>
              </w:rPr>
              <w:t>מנהל שמתערב במה שלא שלו ונוטה לצד "המדינה"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סיום י"ב ובגרויות; דחיית החתונה</w:t>
            </w:r>
          </w:p>
        </w:tc>
        <w:tc>
          <w:tcPr>
            <w:tcW w:type="dxa" w:w="3685"/>
          </w:tcPr>
          <w:p>
            <w:pPr>
              <w:spacing w:line="276" w:lineRule="auto" w:after="40"/>
              <w:jc w:val="right"/>
            </w:pPr>
            <w:r>
              <w:rPr>
                <w:b w:val="0"/>
                <w:i w:val="0"/>
                <w:noProof/>
                <w:sz w:val="22"/>
                <w:szCs w:val="22"/>
              </w:rPr>
              <w:t>האב: עזיבה מיידית; הדוד: עזיבה בסוף י"א</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עתיד התלמידה, מסר לבנות ולהורים אחרים, מדדי נשירת בנות</w:t>
            </w:r>
          </w:p>
        </w:tc>
        <w:tc>
          <w:tcPr>
            <w:tcW w:type="dxa" w:w="3685"/>
          </w:tcPr>
          <w:p>
            <w:pPr>
              <w:spacing w:line="276" w:lineRule="auto" w:after="40"/>
              <w:jc w:val="right"/>
            </w:pPr>
            <w:r>
              <w:rPr>
                <w:b w:val="0"/>
                <w:i w:val="0"/>
                <w:noProof/>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דיווח לקצינת ביקור סדיר או לרווחה; מסלים ולא יעיל</w:t>
            </w:r>
          </w:p>
        </w:tc>
        <w:tc>
          <w:tcPr>
            <w:tcW w:type="dxa" w:w="3685"/>
          </w:tcPr>
          <w:p>
            <w:pPr>
              <w:spacing w:line="276" w:lineRule="auto" w:after="40"/>
              <w:jc w:val="right"/>
            </w:pPr>
            <w:r>
              <w:rPr>
                <w:b w:val="0"/>
                <w:i w:val="0"/>
                <w:noProof/>
                <w:sz w:val="22"/>
                <w:szCs w:val="22"/>
              </w:rPr>
              <w:t>פשוט לא לשלוח אותה; חלופה חזקה מאוד</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לפחות סיום י"א עם כל הבגרויות</w:t>
            </w:r>
          </w:p>
        </w:tc>
        <w:tc>
          <w:tcPr>
            <w:tcW w:type="dxa" w:w="3685"/>
          </w:tcPr>
          <w:p>
            <w:pPr>
              <w:spacing w:line="276" w:lineRule="auto" w:after="40"/>
              <w:jc w:val="right"/>
            </w:pPr>
            <w:r>
              <w:rPr>
                <w:b w:val="0"/>
                <w:i w:val="0"/>
                <w:noProof/>
                <w:sz w:val="22"/>
                <w:szCs w:val="22"/>
              </w:rPr>
              <w:t>החתונה במועד; לא ללמוד בכיתה עם בנים אחרי החתונה</w:t>
            </w:r>
          </w:p>
        </w:tc>
      </w:tr>
    </w:tbl>
    <w:p/>
    <w:p>
      <w:r>
        <w:rPr>
          <w:b/>
          <w:bCs/>
          <w:i w:val="0"/>
          <w:noProof/>
        </w:rPr>
        <w:t>ZOPA:</w:t>
      </w:r>
      <w:r>
        <w:rPr>
          <w:b w:val="0"/>
          <w:i w:val="0"/>
          <w:noProof/>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noProof/>
        </w:rPr>
        <w:t>ניתוח:</w:t>
      </w:r>
      <w:r>
        <w:rPr>
          <w:b w:val="0"/>
          <w:i w:val="0"/>
          <w:noProof/>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pPr>
        <w:pStyle w:val="Heading2"/>
      </w:pPr>
      <w:r>
        <w:rPr>
          <w:noProof/>
        </w:rPr>
        <w:t>תיאוריה 4: תורת המשחקים, משחק חוזר ושיקולי הוגנות</w:t>
      </w:r>
    </w:p>
    <w:p>
      <w:r>
        <w:rPr>
          <w:b w:val="0"/>
          <w:i w:val="0"/>
          <w:noProof/>
        </w:rPr>
        <w:t>החלק הרביעי והחמישי של הפרק בוחנים מקרים דרך שתי תיאוריות נוספות. דוגמאות 7, 8 ו־10 הן מקרים חדשים מהראיונות, ודוגמה 9 בוחנת מחדש את מקרה ההסעות (דוגמה 5) מזווית תיאורטית אחרת.</w:t>
      </w:r>
    </w:p>
    <w:p>
      <w:pPr>
        <w:pStyle w:val="Heading3"/>
      </w:pPr>
      <w:r>
        <w:rPr>
          <w:noProof/>
        </w:rPr>
        <w:t>דוגמה 7: רנא מול מורים בתקופת מחסור במורים</w:t>
      </w:r>
    </w:p>
    <w:p>
      <w:r>
        <w:rPr>
          <w:b w:val="0"/>
          <w:i w:val="0"/>
          <w:noProof/>
        </w:rPr>
        <w:t>רנא תיארה שינוי ביחסי הכוח מול הצוות: "היום, כשמורה למתמטיקה יכול לעזוב מחר להייטק או לבית ספר בשכונה אחרת, כל בקשה שלו היא משא ומתן שבו יש לו חלופה טובה ולי אין". מורים מבקשים מערכת נוחה, פחות כיתות קשות או תפקיד ריכוז שמביא שכר, וכל בקשה כזו היא משא ומתן אישי.</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מורים שמבקשים הטבות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"אני לא מחלקת טובות אלא מתחרה בשוק"</w:t>
            </w:r>
          </w:p>
        </w:tc>
        <w:tc>
          <w:tcPr>
            <w:tcW w:type="dxa" w:w="3685"/>
          </w:tcPr>
          <w:p>
            <w:pPr>
              <w:spacing w:line="276" w:lineRule="auto" w:after="40"/>
              <w:jc w:val="right"/>
            </w:pPr>
            <w:r>
              <w:rPr>
                <w:b w:val="0"/>
                <w:i w:val="0"/>
                <w:noProof/>
                <w:sz w:val="22"/>
                <w:szCs w:val="22"/>
              </w:rPr>
              <w:t>המנהלת צריכה אותי יותר משאני צריך אותה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שיבוץ לפי טובת בית הספר</w:t>
            </w:r>
          </w:p>
        </w:tc>
        <w:tc>
          <w:tcPr>
            <w:tcW w:type="dxa" w:w="3685"/>
          </w:tcPr>
          <w:p>
            <w:pPr>
              <w:spacing w:line="276" w:lineRule="auto" w:after="40"/>
              <w:jc w:val="right"/>
            </w:pPr>
            <w:r>
              <w:rPr>
                <w:b w:val="0"/>
                <w:i w:val="0"/>
                <w:noProof/>
                <w:sz w:val="22"/>
                <w:szCs w:val="22"/>
              </w:rPr>
              <w:t>מערכת נוחה, פחות כיתות קשות, תפקיד ריכוז</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שמירת מורים טובים, הוגנות כלפי כל הצוות, מניעת פרוטקציה</w:t>
            </w:r>
          </w:p>
        </w:tc>
        <w:tc>
          <w:tcPr>
            <w:tcW w:type="dxa" w:w="3685"/>
          </w:tcPr>
          <w:p>
            <w:pPr>
              <w:spacing w:line="276" w:lineRule="auto" w:after="40"/>
              <w:jc w:val="right"/>
            </w:pPr>
            <w:r>
              <w:rPr>
                <w:b w:val="0"/>
                <w:i w:val="0"/>
                <w:noProof/>
                <w:sz w:val="22"/>
                <w:szCs w:val="22"/>
              </w:rPr>
              <w:t>עומס סביר, שכר, ובעיקר "הרגשה שרואים אותו"</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חלשה: אין מחליפים בשוק</w:t>
            </w:r>
          </w:p>
        </w:tc>
        <w:tc>
          <w:tcPr>
            <w:tcW w:type="dxa" w:w="3685"/>
          </w:tcPr>
          <w:p>
            <w:pPr>
              <w:spacing w:line="276" w:lineRule="auto" w:after="40"/>
              <w:jc w:val="right"/>
            </w:pPr>
            <w:r>
              <w:rPr>
                <w:b w:val="0"/>
                <w:i w:val="0"/>
                <w:noProof/>
                <w:sz w:val="22"/>
                <w:szCs w:val="22"/>
              </w:rPr>
              <w:t>חזקה: מעבר לבית ספר אחר או להייטק</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הסדר אישי שאי אפשר להסביר לשאר הצוות</w:t>
            </w:r>
          </w:p>
        </w:tc>
        <w:tc>
          <w:tcPr>
            <w:tcW w:type="dxa" w:w="3685"/>
          </w:tcPr>
          <w:p>
            <w:pPr>
              <w:spacing w:line="276" w:lineRule="auto" w:after="40"/>
              <w:jc w:val="right"/>
            </w:pPr>
            <w:r>
              <w:rPr>
                <w:b w:val="0"/>
                <w:i w:val="0"/>
                <w:noProof/>
                <w:sz w:val="22"/>
                <w:szCs w:val="22"/>
              </w:rPr>
              <w:t>לא להישאר בתנאים שנתפסים כלא הוגנים</w:t>
            </w:r>
          </w:p>
        </w:tc>
      </w:tr>
    </w:tbl>
    <w:p/>
    <w:p>
      <w:r>
        <w:rPr>
          <w:b/>
          <w:bCs/>
          <w:i w:val="0"/>
          <w:noProof/>
        </w:rPr>
        <w:t>ZOPA:</w:t>
      </w:r>
      <w:r>
        <w:rPr>
          <w:b w:val="0"/>
          <w:i w:val="0"/>
          <w:noProof/>
        </w:rPr>
        <w:t xml:space="preserve"> מרחב קיים בין תנאים אישיים לחלוטין לבין שיבוץ שאינו מתחשב במורה. רנא בנתה בתוכו כללים גלויים, למשל שמורה שלוקח שתי כיתות קשות מקבל עדיפות במערכת בשנה שאחרי.</w:t>
      </w:r>
    </w:p>
    <w:p>
      <w:r>
        <w:rPr>
          <w:b/>
          <w:bCs/>
          <w:i w:val="0"/>
          <w:noProof/>
        </w:rPr>
        <w:t>ניתוח:</w:t>
      </w:r>
      <w:r>
        <w:rPr>
          <w:b w:val="0"/>
          <w:i w:val="0"/>
          <w:noProof/>
        </w:rPr>
        <w:t xml:space="preserve"> לפי תורת המשחקים, זהו משחק חוזר עם הרבה שחקנים. אם רנא תסגור הסדר אישי עם מורה אחד, שאר המורים ילמדו שמשתלם לאיים בעזיבה, וכל אחד מהם יפעל כך. התוצאה תהיה דומה לדילמת האסיר: מה שרציונלי לכל מורה בנפרד פוגע בצוות כולו (הוכמן, 2026). הכללים הגלויים משנים את חוקי המשחק: הם מתגמלים שיתוף פעולה לאורך זמן ולא איום חד פעמי. זה מתיישב גם עם שיקול ההוגנות שהודגש בקורס, שלפיו אנשים דוחים הסדר שנתפס כלא הוגן גם כשהוא עולה להם (הוכמן, 2026). רנא מוסיפה ממד שתורת המשחקים הקלאסית מחמיצה: לדבריה, מה שמורה רוצה הוא לרוב "לא כסף ולא מערכת, אלא הרגשה שרואים אותו", ואת זה אפשר לתת בלי לשנות את חוקי המשחק.</w:t>
      </w:r>
    </w:p>
    <w:p>
      <w:pPr>
        <w:pStyle w:val="Heading3"/>
      </w:pPr>
      <w:r>
        <w:rPr>
          <w:noProof/>
        </w:rPr>
        <w:t>דוגמה 8: אמאני מול העירייה, המשרד וועד ההורים על אבטחת בית הספר</w:t>
      </w:r>
    </w:p>
    <w:p>
      <w:r>
        <w:rPr>
          <w:b w:val="0"/>
          <w:i w:val="0"/>
          <w:noProof/>
        </w:rPr>
        <w:t>אחרי אירוע ירי ברחוב הסמוך בשעת הפסקה הגיעו למחרת פחות ממחצית התלמידים, וועד ההורים הודיע שההורים לא ישלחו ילדים עד שיהיו שומר, גדר תקינה ומצלמות. אמאני דרשה מהעירייה שומר בשער, תיקון מיידי של הגדר, מצלמות ונוהל לשעת אירוע. העירייה, שנמצאת בתוכנית הבראה, טענה שאין תקן לשומר. הקב"ט העירוני אמר שזה עניין של המשטרה, והמשטרה אמרה שהיא לא מאבטחת בתי ספר.</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העירייה (מחלקת החינוך והקב"ט)</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שמתחבא מאחורי תוכנית ההבראה"</w:t>
            </w:r>
          </w:p>
        </w:tc>
        <w:tc>
          <w:tcPr>
            <w:tcW w:type="dxa" w:w="3685"/>
          </w:tcPr>
          <w:p>
            <w:pPr>
              <w:spacing w:line="276" w:lineRule="auto" w:after="40"/>
              <w:jc w:val="right"/>
            </w:pPr>
            <w:r>
              <w:rPr>
                <w:b w:val="0"/>
                <w:i w:val="0"/>
                <w:noProof/>
                <w:sz w:val="22"/>
                <w:szCs w:val="22"/>
              </w:rPr>
              <w:t>מנהלת "שמנצלת אירוע כדי להוציא תקציב שרצתה מזמן"</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שומר בשער, גדר, מצלמות, נוהל</w:t>
            </w:r>
          </w:p>
        </w:tc>
        <w:tc>
          <w:tcPr>
            <w:tcW w:type="dxa" w:w="3685"/>
          </w:tcPr>
          <w:p>
            <w:pPr>
              <w:spacing w:line="276" w:lineRule="auto" w:after="40"/>
              <w:jc w:val="right"/>
            </w:pPr>
            <w:r>
              <w:rPr>
                <w:b w:val="0"/>
                <w:i w:val="0"/>
                <w:noProof/>
                <w:sz w:val="22"/>
                <w:szCs w:val="22"/>
              </w:rPr>
              <w:t>אין תקן; הגדר "במסגרת התחזוקה השוטפת"; "זה של המשטרה"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ביטחון התלמידים, החזרת הנוכחות, אמון ההורים</w:t>
            </w:r>
          </w:p>
        </w:tc>
        <w:tc>
          <w:tcPr>
            <w:tcW w:type="dxa" w:w="3685"/>
          </w:tcPr>
          <w:p>
            <w:pPr>
              <w:spacing w:line="276" w:lineRule="auto" w:after="40"/>
              <w:jc w:val="right"/>
            </w:pPr>
            <w:r>
              <w:rPr>
                <w:b w:val="0"/>
                <w:i w:val="0"/>
                <w:noProof/>
                <w:sz w:val="22"/>
                <w:szCs w:val="22"/>
              </w:rPr>
              <w:t>לא להוסיף הוצאה קבועה שהחשב המלווה לא יאשר, ולא לפתוח דרישה משבעה בתי ספר נוספים</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תיאום עם שביתת ההורים</w:t>
            </w:r>
          </w:p>
        </w:tc>
        <w:tc>
          <w:tcPr>
            <w:tcW w:type="dxa" w:w="3685"/>
          </w:tcPr>
          <w:p>
            <w:pPr>
              <w:spacing w:line="276" w:lineRule="auto" w:after="40"/>
              <w:jc w:val="right"/>
            </w:pPr>
            <w:r>
              <w:rPr>
                <w:b w:val="0"/>
                <w:i w:val="0"/>
                <w:noProof/>
                <w:sz w:val="22"/>
                <w:szCs w:val="22"/>
              </w:rPr>
              <w:t>לחכות שהפחד יירגע</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יום לימודים בלי מבוגר אחראי בשער; הגדר מתוקנת קודם</w:t>
            </w:r>
          </w:p>
        </w:tc>
        <w:tc>
          <w:tcPr>
            <w:tcW w:type="dxa" w:w="3685"/>
          </w:tcPr>
          <w:p>
            <w:pPr>
              <w:spacing w:line="276" w:lineRule="auto" w:after="40"/>
              <w:jc w:val="right"/>
            </w:pPr>
            <w:r>
              <w:rPr>
                <w:b w:val="0"/>
                <w:i w:val="0"/>
                <w:noProof/>
                <w:sz w:val="22"/>
                <w:szCs w:val="22"/>
              </w:rPr>
              <w:t>אין תקן שומר קבוע מתקציב העיר; לא לתת לבית ספר אחד מה שלא נותנים לכולם</w:t>
            </w:r>
          </w:p>
        </w:tc>
      </w:tr>
    </w:tbl>
    <w:p/>
    <w:p>
      <w:r>
        <w:rPr>
          <w:b/>
          <w:bCs/>
          <w:i w:val="0"/>
          <w:noProof/>
        </w:rPr>
        <w:t>ZOPA:</w:t>
      </w:r>
      <w:r>
        <w:rPr>
          <w:b w:val="0"/>
          <w:i w:val="0"/>
          <w:noProof/>
        </w:rPr>
        <w:t xml:space="preserve"> אדם בשער שאינו ממומן מתקציב העיר, גדר שמתוקנת לפי תקן הבטיחות, ומצלמות ממקור חיצוני. ההסכם: מלווה בטיחות לשנה במימון המחוז, גדר שתוקנה תוך שבועיים, שש מצלמות מתוכנית עירונית למניעת אלימות, ונוהל חירום משותף עם המשטרה.</w:t>
      </w:r>
    </w:p>
    <w:p>
      <w:r>
        <w:rPr>
          <w:b/>
          <w:bCs/>
          <w:i w:val="0"/>
          <w:noProof/>
        </w:rPr>
        <w:t>ניתוח:</w:t>
      </w:r>
      <w:r>
        <w:rPr>
          <w:b w:val="0"/>
          <w:i w:val="0"/>
          <w:noProof/>
        </w:rPr>
        <w:t xml:space="preserve"> המקרה הוא משחק עם כמה שחקנים, ותורת המשחקים מסבירה את הקיפאון בשלב הראשון. כל שחקן בחר באסטרטגיה שהייתה רציונלית מבחינתו, העירייה לחכות, המשרד להיצמד לקריטריון והמשטרה להעביר אחריות, והתוצאה הייתה גרועה לכולם: חצי מהתלמידים בבית (הוכמן, 2026). לעירייה היה גם שיקול של משחק חוזר: שומר בבית ספר אחד הוא תקדים שיגרור דרישה משבעה בתי ספר נוספים. אמאני שינתה את חוקי המשחק בשני מהלכים. הראשון, קואליציה: היא הפסיקה לבלום את ועד ההורים והתחילה לתאם איתו, כך ש"העירייה הבינה שאם היא לא סוגרת איתי, היא תצטרך לסגור איתם". השני, פיזור העלות בין כמה מקורות, כך שאף שחקן לא נשא לבד במחיר. היא גם השתמשה בקריטריון אובייקטיבי, השוואה לשלוש חטיבות באזור שבכולן יש שומר, שהפך את הבקשה לשאלה של שוויון (פישר ואחרים, 2013).</w:t>
      </w:r>
    </w:p>
    <w:p>
      <w:pPr>
        <w:ind w:right="709" w:left="709"/>
      </w:pPr>
      <w:r>
        <w:rPr>
          <w:b w:val="0"/>
          <w:i w:val="0"/>
          <w:noProof/>
        </w:rPr>
        <w:t>מנהלת שמביאה מספרים מקבלת תקציב, ומנהלת שמביאה רק פחד מקבלת טלפון של תמיכה.</w:t>
      </w:r>
    </w:p>
    <w:p>
      <w:pPr>
        <w:pStyle w:val="Heading2"/>
      </w:pPr>
      <w:r>
        <w:rPr>
          <w:noProof/>
        </w:rPr>
        <w:t>תיאוריה 5: הטיות קוגניטיביות במשא ומתן</w:t>
      </w:r>
    </w:p>
    <w:p>
      <w:pPr>
        <w:pStyle w:val="Heading3"/>
      </w:pPr>
      <w:r>
        <w:rPr>
          <w:noProof/>
        </w:rPr>
        <w:t>דוגמה 9: ח'אלד והטיית "העוגה הקבועה" במשא ומתן על ההסעות</w:t>
      </w:r>
    </w:p>
    <w:p>
      <w:r>
        <w:rPr>
          <w:b w:val="0"/>
          <w:i w:val="0"/>
          <w:noProof/>
        </w:rPr>
        <w:t>במשא ומתן על ההסעות (דוגמה 5) ניסה ח'אלד חודשיים להשיג מימון לרכב גיבוי מהמועצה. בדיעבד הוא אומר: "בזבזתי חודשיים בניסיון להוציא כסף מהמועצה שלא היה לה". הוא גם תיאר את עצמו כמי שהגיע כועס לשתי הפגישות הראשונות.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מנהל מחלקת החינוך במועצה</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"מסתתר מאחורי החוזה"</w:t>
            </w:r>
          </w:p>
        </w:tc>
        <w:tc>
          <w:tcPr>
            <w:tcW w:type="dxa" w:w="3685"/>
          </w:tcPr>
          <w:p>
            <w:pPr>
              <w:spacing w:line="276" w:lineRule="auto" w:after="40"/>
              <w:jc w:val="right"/>
            </w:pPr>
            <w:r>
              <w:rPr>
                <w:b w:val="0"/>
                <w:i w:val="0"/>
                <w:noProof/>
                <w:sz w:val="22"/>
                <w:szCs w:val="22"/>
              </w:rPr>
              <w:t>"אתה מביא לי בעיות, לא פתרונות"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 גיבוי במימון המועצה</w:t>
            </w:r>
          </w:p>
        </w:tc>
        <w:tc>
          <w:tcPr>
            <w:tcW w:type="dxa" w:w="3685"/>
          </w:tcPr>
          <w:p>
            <w:pPr>
              <w:spacing w:line="276" w:lineRule="auto" w:after="40"/>
              <w:jc w:val="right"/>
            </w:pPr>
            <w:r>
              <w:rPr>
                <w:b w:val="0"/>
                <w:i w:val="0"/>
                <w:noProof/>
                <w:sz w:val="22"/>
                <w:szCs w:val="22"/>
              </w:rPr>
              <w:t>אין תקציב לרכבים נוספים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שהתלמידים יגיעו לבית הספר</w:t>
            </w:r>
          </w:p>
        </w:tc>
        <w:tc>
          <w:tcPr>
            <w:tcW w:type="dxa" w:w="3685"/>
          </w:tcPr>
          <w:p>
            <w:pPr>
              <w:spacing w:line="276" w:lineRule="auto" w:after="40"/>
              <w:jc w:val="right"/>
            </w:pPr>
            <w:r>
              <w:rPr>
                <w:b w:val="0"/>
                <w:i w:val="0"/>
                <w:noProof/>
                <w:sz w:val="22"/>
                <w:szCs w:val="22"/>
              </w:rPr>
              <w:t>שקט תקציבי, לא להודות בטעות במכרז</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דוח יומי לפיקוח</w:t>
            </w:r>
          </w:p>
        </w:tc>
        <w:tc>
          <w:tcPr>
            <w:tcW w:type="dxa" w:w="3685"/>
          </w:tcPr>
          <w:p>
            <w:pPr>
              <w:spacing w:line="276" w:lineRule="auto" w:after="40"/>
              <w:jc w:val="right"/>
            </w:pPr>
            <w:r>
              <w:rPr>
                <w:b w:val="0"/>
                <w:i w:val="0"/>
                <w:noProof/>
                <w:sz w:val="22"/>
                <w:szCs w:val="22"/>
              </w:rPr>
              <w:t>לחכות לקיץ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w:t>
            </w:r>
          </w:p>
        </w:tc>
        <w:tc>
          <w:tcPr>
            <w:tcW w:type="dxa" w:w="3685"/>
          </w:tcPr>
          <w:p>
            <w:pPr>
              <w:spacing w:line="276" w:lineRule="auto" w:after="40"/>
              <w:jc w:val="right"/>
            </w:pPr>
            <w:r>
              <w:rPr>
                <w:b w:val="0"/>
                <w:i w:val="0"/>
                <w:noProof/>
                <w:sz w:val="22"/>
                <w:szCs w:val="22"/>
              </w:rPr>
              <w:t>אין תוספת תקציב קבועה מהמועצה</w:t>
            </w:r>
          </w:p>
        </w:tc>
      </w:tr>
    </w:tbl>
    <w:p/>
    <w:p>
      <w:r>
        <w:rPr>
          <w:b/>
          <w:bCs/>
          <w:i w:val="0"/>
          <w:noProof/>
        </w:rPr>
        <w:t>ZOPA:</w:t>
      </w:r>
      <w:r>
        <w:rPr>
          <w:b w:val="0"/>
          <w:i w:val="0"/>
          <w:noProof/>
        </w:rPr>
        <w:t xml:space="preserve"> כל עוד הכסף היה צריך לבוא מהמועצה, לא היה טווח הסכמה. הטווח נפתח כשהמפקח הביא תקציב חירום של המחוז.</w:t>
      </w:r>
    </w:p>
    <w:p>
      <w:r>
        <w:rPr>
          <w:b/>
          <w:bCs/>
          <w:i w:val="0"/>
          <w:noProof/>
        </w:rPr>
        <w:t>ניתוח:</w:t>
      </w:r>
      <w:r>
        <w:rPr>
          <w:b w:val="0"/>
          <w:i w:val="0"/>
          <w:noProof/>
        </w:rPr>
        <w:t xml:space="preserve"> המקרה מדגים שתי הטיות שנלמדו בקורס (הוכמן, 2026). הראשונה היא הטיית העוגה הקבועה: שני הצדדים הניחו שהכסף יכול לבוא רק מהקופה של המועצה, ולכן כל שקל לרכב גיבוי היה הפסד שלה. השנייה היא ייחוס כוונות: ח'אלד ראה במנהל המחלקה מי ש"מסתתר", ומנהל המחלקה ראה בח'אלד מי ש"מביא בעיות". שתי הפעולות שתיקנו את ההטיות היו הנסיעה המשותפת לכפר בשש בבוקר, שהפרידה בין האנשים לבעיה, וטבלת הימים ללא הסעה, שהפכה את הוויכוח לנתון (פישר ואחרים, 2013). ח'אלד מסכם:</w:t>
      </w:r>
    </w:p>
    <w:p>
      <w:pPr>
        <w:ind w:right="709" w:left="709"/>
      </w:pPr>
      <w:r>
        <w:rPr>
          <w:b w:val="0"/>
          <w:i w:val="0"/>
          <w:noProof/>
        </w:rPr>
        <w:t>ולמדתי שהמספרים שלי, הטבלה, עשו יותר מכל הכעס שלי.</w:t>
      </w:r>
    </w:p>
    <w:p>
      <w:pPr>
        <w:pStyle w:val="Heading3"/>
      </w:pPr>
      <w:r>
        <w:rPr>
          <w:noProof/>
        </w:rPr>
        <w:t>דוגמה 10: אמאני מול ההורים, התלמידים והמורים על איסוף הטלפונים</w:t>
      </w:r>
    </w:p>
    <w:p>
      <w:r>
        <w:rPr>
          <w:b w:val="0"/>
          <w:i w:val="0"/>
          <w:noProof/>
        </w:rPr>
        <w:t>בעקבות הנחיית משרד החינוך החליטה אמאני על איסוף מלא של הטלפונים בבוקר והחזרתם בסוף היום. ועד ההורים התנגד בתוקף, בעיקר בגלל הירי בעיר. מועצת התלמידים ארגנה עצומה, והמורים תמכו ברעיון אבל לא רצו להיות אחראים על ארבעים טלפונים בכל כיתה.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ועד ההורים (ובמקביל התלמידים והמורים)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הורים "שמגנים על הנוחות של הילדים ולא על טובתם"</w:t>
            </w:r>
          </w:p>
        </w:tc>
        <w:tc>
          <w:tcPr>
            <w:tcW w:type="dxa" w:w="3685"/>
          </w:tcPr>
          <w:p>
            <w:pPr>
              <w:spacing w:line="276" w:lineRule="auto" w:after="40"/>
              <w:jc w:val="right"/>
            </w:pPr>
            <w:r>
              <w:rPr>
                <w:b w:val="0"/>
                <w:i w:val="0"/>
                <w:noProof/>
                <w:sz w:val="22"/>
                <w:szCs w:val="22"/>
              </w:rPr>
              <w:t>מנהלת "שמנסה להוכיח למפקחת שהיא מיישמת"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איסוף מלא לארונית נעולה, בלי חריגים</w:t>
            </w:r>
          </w:p>
        </w:tc>
        <w:tc>
          <w:tcPr>
            <w:tcW w:type="dxa" w:w="3685"/>
          </w:tcPr>
          <w:p>
            <w:pPr>
              <w:spacing w:line="276" w:lineRule="auto" w:after="40"/>
              <w:jc w:val="right"/>
            </w:pPr>
            <w:r>
              <w:rPr>
                <w:b w:val="0"/>
                <w:i w:val="0"/>
                <w:noProof/>
                <w:sz w:val="22"/>
                <w:szCs w:val="22"/>
              </w:rPr>
              <w:t>הורים: "כבוי בתיק"; תלמידים: בלי איסוף; מורים: לא על המחנכת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אלימות שמתחילה ברשת, שיעורים בלי מסכים</w:t>
            </w:r>
          </w:p>
        </w:tc>
        <w:tc>
          <w:tcPr>
            <w:tcW w:type="dxa" w:w="3685"/>
          </w:tcPr>
          <w:p>
            <w:pPr>
              <w:spacing w:line="276" w:lineRule="auto" w:after="40"/>
              <w:jc w:val="right"/>
            </w:pPr>
            <w:r>
              <w:rPr>
                <w:b w:val="0"/>
                <w:i w:val="0"/>
                <w:noProof/>
                <w:sz w:val="22"/>
                <w:szCs w:val="22"/>
              </w:rPr>
              <w:t>הורים: להשיג את הילד מיד באירוע ביטחוני; תלמידים: כבוד; מורים: לא לשאת באחריות על רכוש</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לכפות את ההנחיה (חלשה: "כל בוקר הופך למאבק")</w:t>
            </w:r>
          </w:p>
        </w:tc>
        <w:tc>
          <w:tcPr>
            <w:tcW w:type="dxa" w:w="3685"/>
          </w:tcPr>
          <w:p>
            <w:pPr>
              <w:spacing w:line="276" w:lineRule="auto" w:after="40"/>
              <w:jc w:val="right"/>
            </w:pPr>
            <w:r>
              <w:rPr>
                <w:b w:val="0"/>
                <w:i w:val="0"/>
                <w:noProof/>
                <w:sz w:val="22"/>
                <w:szCs w:val="22"/>
              </w:rPr>
              <w:t>הורים: לא לחתום ולפנות למפקחת; תלמידים: לא לשתף פעולה</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טלפון ביד בשיעורים ובהפסקות; המחנכת לא אחראית אישית</w:t>
            </w:r>
          </w:p>
        </w:tc>
        <w:tc>
          <w:tcPr>
            <w:tcW w:type="dxa" w:w="3685"/>
          </w:tcPr>
          <w:p>
            <w:pPr>
              <w:spacing w:line="276" w:lineRule="auto" w:after="40"/>
              <w:jc w:val="right"/>
            </w:pPr>
            <w:r>
              <w:rPr>
                <w:b w:val="0"/>
                <w:i w:val="0"/>
                <w:noProof/>
                <w:sz w:val="22"/>
                <w:szCs w:val="22"/>
              </w:rPr>
              <w:t>הורים: זמינות תוך דקות באירוע; מורים: אין אחריות על רכוש</w:t>
            </w:r>
          </w:p>
        </w:tc>
      </w:tr>
    </w:tbl>
    <w:p/>
    <w:p>
      <w:r>
        <w:rPr>
          <w:b/>
          <w:bCs/>
          <w:i w:val="0"/>
          <w:noProof/>
        </w:rPr>
        <w:t>ZOPA:</w:t>
      </w:r>
      <w:r>
        <w:rPr>
          <w:b w:val="0"/>
          <w:i w:val="0"/>
          <w:noProof/>
        </w:rPr>
        <w:t xml:space="preserve"> רחב ממה שנראה בהתחלה. ההסכם: ארוניות נעולות שהמפתח שלהן במזכירות, נוהל חירום שבו הטלפונים מוחזרים תוך חמש דקות, קו טלפון של בית הספר להורים, ואחריות של מועצת התלמידים על נוהל האיסוף בכיתה ט'.</w:t>
      </w:r>
    </w:p>
    <w:p>
      <w:r>
        <w:rPr>
          <w:b/>
          <w:bCs/>
          <w:i w:val="0"/>
          <w:noProof/>
        </w:rPr>
        <w:t>ניתוח:</w:t>
      </w:r>
      <w:r>
        <w:rPr>
          <w:b w:val="0"/>
          <w:i w:val="0"/>
          <w:noProof/>
        </w:rPr>
        <w:t xml:space="preserve"> אמאני מתארת את עצמה בתחילת התהליך כמי שהייתה "בטוחה שאני צודקת", וזה תיאור של הטיית ביטחון־יתר. היא פתחה במכתב שהודיע על האיסוף כעובדה, והגיעה למפגש הראשון עם מצגת על נזקי המסכים. ההורים שמעו בזה האשמה ולא הזמנה, וזה הוביל לייחוס כוונות הדדי: היא ראתה בהם מי שמגינים על נוחות, והם ראו בה מי שמנסה לרצות את המפקחת (הוכמן, 2026). המפנה הגיע כשהבינה שהאינטרס של ההורים הוא "עשר דקות של פחד" ולא הטלפון בכיס, ושאלה: "מה אתם צריכים כדי להרגיש שהילד שלכם בטוח גם בלי טלפון בכיס". זהו מעבר מעמדות לאינטרסים במובן המלא (פישר ואחרים, 2013). שלושת הקריטריונים שהביאה, הנחיית המשרד, השוואה לשתי חטיבות באזור ונוהל פיקוד העורף, עזרו לתקן את העיגון של ההורים. והפתרונות שהחזיקו את ההסכם לא היו שלה: הארוניות, החמש דקות והאחריות של כיתה ט'.</w:t>
      </w:r>
    </w:p>
    <w:p>
      <w:pPr>
        <w:ind w:right="709" w:left="709"/>
      </w:pPr>
      <w:r>
        <w:rPr>
          <w:b w:val="0"/>
          <w:i w:val="0"/>
          <w:noProof/>
        </w:rPr>
        <w:t>למדתי שהסמכות שלי שווה הרבה כשאני לא משתמשת בה, ומעט מאוד כשאני מנופפת בה.</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מתארים את עצמם כמי שמשנים סגנון לפי הצד שמולם, וזה בדיוק מה שמודל העניין הכפול צופה: הבחירה בסגנון תלויה במשקל של התוצאה ושל הקשר (Rahim, 1983, כפי שמצוטט אצל הוכמן, 2026). מול ספקים כולם תחרותיים. רנא: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noProof/>
        </w:rPr>
        <w:t>הדפוס השני הוא מעבר מגישה חלוקתית לגישה של משא ומתן על פי עקרונות. כמעט בכל המקרים המנהל פתח בעמדה, ובכל אחד מהם הצליח רק כשזיהה את האינטרס של הצד השני. כולם מתארים את הפתיחה שלהם כטעות: סמיר פתח במכתבים, רנא בישיבה של שמונים איש עם דרישה, ח'אלד בהזמנת אב שהגיע "כנאשם", ואמאני במכתב שהודיע להורים על איסוף הטלפונים כעובדה ובמצגת על נזקי המסכים. כלומר, המנהלים פועלים בפועל לפי מודל פישר ויורי (פישר ואחרים, 2013), אבל רק אחרי שהגישה החלוקתית נכשלה.</w:t>
      </w:r>
    </w:p>
    <w:p>
      <w:r>
        <w:rPr>
          <w:b w:val="0"/>
          <w:i w:val="0"/>
          <w:noProof/>
        </w:rPr>
        <w:t>Miller (2014) מצא פער בין הסגנון המוצהר לסגנון בפועל, וגם כאן יש פער. רנא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noProof/>
        </w:rPr>
        <w:t>שתי התיאוריות הנוספות מסבירות למה המעבר הזה מתעכב. הטיית העוגה הקבועה וייחוס כוונות רעות לצד השני גרמו לסמיר, לח'אלד ולאמאני לבזבז חודשים על ויכוח על כסף ועל אשמה (הוכמן, 2026). תורת המשחקים מסבירה את הצד השני של התמונה: מאחר שהמנהלים נמצאים במשחק חוזר מול אותם מורים, הורים ורשויות, הם לומדים עם הזמן לוותר על ניצחון מיידי כדי לשמור על אמון, כפי שרנא עשתה כשבנתה כללים גלויים לשיבוץ, ואמאני כשבחרה לוותר על כפיית נוהל הטלפונים כדי לא "להפסיד את ההורים לשנה שלמה".</w:t>
      </w:r>
    </w:p>
    <w:p>
      <w:r>
        <w:rPr>
          <w:b w:val="0"/>
          <w:i w:val="0"/>
          <w:noProof/>
        </w:rPr>
        <w:t>הערכה: הסגנון המשתנה יעיל, אבל יקר בזמן. בכל המקרים ההסכם הגיע אחרי חודשים, וכל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בראיונות בולט שהערכים הכתובים על הקיר, "מצוינות ושייכות", פחות חשובים מהנורמות הלא כתובות. שלוש הדוגמאות שלהלן בוחנות את ההיגד.</w:t>
      </w:r>
    </w:p>
    <w:p>
      <w:pPr>
        <w:pStyle w:val="Heading2"/>
      </w:pPr>
      <w:r>
        <w:rPr>
          <w:noProof/>
        </w:rPr>
        <w:t>דוגמה 1: ערך הכבוד בתיכון של ח'אלד בזמן המלחמה</w:t>
      </w:r>
    </w:p>
    <w:p>
      <w:r>
        <w:rPr>
          <w:b w:val="0"/>
          <w:i w:val="0"/>
          <w:noProof/>
        </w:rPr>
        <w:t>בתיכון של ח'אלד הערך המרכזי הוא הכבוד, והוא מתורגם לנורמות מפורשות, כלומר להוראות התנהגות (שפירא, 1983, כפי שמצוטט אצל הוכמן, 2026):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noProof/>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noProof/>
        </w:rPr>
        <w:t>בזמן משבר, מי שמביא נתונים מקבל תשומת לב, ומי שמביא רק כאב מקבל אהדה.</w:t>
      </w:r>
    </w:p>
    <w:p>
      <w:r>
        <w:rPr>
          <w:b w:val="0"/>
          <w:i w:val="0"/>
          <w:noProof/>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rPr>
          <w:noProof/>
        </w:rPr>
        <w:t>דוגמה 2: נורמות הצוות בחטיבה של רנא מול המחסור במורים</w:t>
      </w:r>
    </w:p>
    <w:p>
      <w:r>
        <w:rPr>
          <w:b w:val="0"/>
          <w:i w:val="0"/>
          <w:noProof/>
        </w:rPr>
        <w:t>בחטיבה של רנא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רנא: היא לא יכולה ללחוץ על מורה חלש, ולא יכולה להסכים לדרישת הורה שמשפילה מורה.</w:t>
      </w:r>
    </w:p>
    <w:p>
      <w:r>
        <w:rPr>
          <w:b w:val="0"/>
          <w:i w:val="0"/>
          <w:noProof/>
        </w:rPr>
        <w:t>השינוי בסביבה הוא המחסור במורים, שהפך את יחסי הכוח. מורה למתמטיקה "יכול לעזוב מחר להייטק", ולכן כל בקשה שלו היא משא ומתן שבו יש לו BATNA טובה (הוכמן, 2026). כאן התרבות שימשה מצפן: במקום לחלק הטבות אישיות, רנא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pPr>
        <w:pStyle w:val="Heading2"/>
      </w:pPr>
      <w:r>
        <w:rPr>
          <w:noProof/>
        </w:rPr>
        <w:t>דוגמה 3: נורמת הכבוד ומתווכים בבית הספר של סמיר</w:t>
      </w:r>
    </w:p>
    <w:p>
      <w:r>
        <w:rPr>
          <w:b w:val="0"/>
          <w:i w:val="0"/>
          <w:noProof/>
        </w:rPr>
        <w:t>בבית הספר של סמיר, כמו בתיכון של ח'אלד, הערך המרכזי הוא הכבוד. סמיר מתאר נורמה ברורה: "לא מביישים אף אחד בפומבי, לא הורה ולא מורה, וסכסוכים פותרים בשיחה ולא במכתב". הנורמה הזאת קובעת מה אסור לו במשא ומתן: אסור לאיים על הורה, ואסור לנהל משא ומתן על שיבוץ מול כל הצוות, אלא רק בשיחה אישית. היא גם מתירה לו משהו: לערב מכובדים מהמשפחה או מהיישוב כמתווכים כשמשא ומתן עם הורה נתקע.</w:t>
      </w:r>
    </w:p>
    <w:p>
      <w:r>
        <w:rPr>
          <w:b w:val="0"/>
          <w:i w:val="0"/>
          <w:noProof/>
        </w:rPr>
        <w:t>כשהסביבה השתנתה במלחמה, סמיר נשען על אותה תרבות. הוא הפך את ועד ההורים, שקודם היה מולו במשא ומתן על תוכנית ההעשרה, לשותף ולצינור להורים. הוא גם הפסיק "להתעקש על עקרונות כשהמצב משתנה כל יום". כאן ההיגד מתקיים במלואו: התרבות לא נתנה לסמיר תשובות, אבל היא הגדירה איך לדבר עם ההורים בזמן אי־ודאות. Benetti ועמיתיו (Benetti et al., 2021) מצאו שבסביבות שבהן הקשר האישי חשוב, משא ומתן אינטגרטיבי עובר דרך רגש וקרבה, וזה מתאים לתיאור של סמיר.</w:t>
      </w:r>
    </w:p>
    <w:p>
      <w:r>
        <w:rPr>
          <w:b w:val="0"/>
          <w:i w:val="0"/>
          <w:noProof/>
        </w:rPr>
        <w:t>בשלוש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ורנא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rPr>
          <w:noProof/>
        </w:rPr>
        <w:br w:type="page"/>
      </w:r>
    </w:p>
    <w:p>
      <w:pPr>
        <w:pStyle w:val="Heading1"/>
      </w:pPr>
      <w:r>
        <w:rPr>
          <w:noProof/>
        </w:rPr>
        <w:t>סיכום והמלצות</w:t>
      </w:r>
    </w:p>
    <w:p>
      <w:r>
        <w:rPr>
          <w:b w:val="0"/>
          <w:i w:val="0"/>
          <w:noProof/>
        </w:rPr>
        <w:t>העבודה בחנה את מקרי המשא ומתן שתיארו ארבעה מנהלי בתי ספר, בעשר דוגמאות ולפי חמש תיאוריות.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noProof/>
        </w:rPr>
        <w:t>המלצה 1: לפתוח בשאלה ולא בדרישה.</w:t>
      </w:r>
      <w:r>
        <w:rPr>
          <w:b w:val="0"/>
          <w:i w:val="0"/>
          <w:noProof/>
        </w:rPr>
        <w:t xml:space="preserve"> לפני כל משא ומתן משמעותי מול רשות, ועד או צוות, לקיים פגישה אישית אחת שכל מטרתה להבין מה מפריע לצד השני.</w:t>
      </w:r>
    </w:p>
    <w:p>
      <w:r>
        <w:rPr>
          <w:b/>
          <w:bCs/>
          <w:i w:val="0"/>
          <w:noProof/>
        </w:rPr>
        <w:t>המלצה 2: לתעד כל הזמן.</w:t>
      </w:r>
      <w:r>
        <w:rPr>
          <w:b w:val="0"/>
          <w:i w:val="0"/>
          <w:noProof/>
        </w:rPr>
        <w:t xml:space="preserve"> לנהל רשימה שוטפת של ביטולים, ימים ללא הסעה ותקלות, ולא לשחזר אותם ביולי. רנא, ח'אלד ואמאני אמרו שהנתונים היו הכלי החזק ביותר שלהם.</w:t>
      </w:r>
    </w:p>
    <w:p>
      <w:r>
        <w:rPr>
          <w:b/>
          <w:bCs/>
          <w:i w:val="0"/>
          <w:noProof/>
        </w:rPr>
        <w:t>המלצה 3: לזהות מראש מי מאשר ומי יכול לפוצץ.</w:t>
      </w:r>
      <w:r>
        <w:rPr>
          <w:b w:val="0"/>
          <w:i w:val="0"/>
          <w:noProof/>
        </w:rPr>
        <w:t xml:space="preserve"> בשלושה מתוך ארבעת בתי הספר הסכם נפתח מחדש בידי גורם מעל או מהצד. כדאי לשאול בתחילת כל משא ומתן את שתי השאלות של ח'אלד, ולשתף את המפקח לפני הסגירה.</w:t>
      </w:r>
    </w:p>
    <w:p>
      <w:r>
        <w:rPr>
          <w:b/>
          <w:bCs/>
          <w:i w:val="0"/>
          <w:noProof/>
        </w:rPr>
        <w:t>המלצה 4: סעיף לשינוי נסיבות.</w:t>
      </w:r>
      <w:r>
        <w:rPr>
          <w:b w:val="0"/>
          <w:i w:val="0"/>
          <w:noProof/>
        </w:rPr>
        <w:t xml:space="preserve"> בכל הסכם עם הצוות, לכתוב מה קורה אם הנחיה חיצונית משתנה, כפי שרנא עושה מאז המלחמה.</w:t>
      </w:r>
    </w:p>
    <w:p>
      <w:r>
        <w:rPr>
          <w:b/>
          <w:bCs/>
          <w:i w:val="0"/>
          <w:noProof/>
        </w:rPr>
        <w:t>המלצה 5: להקדים את המשא ומתן.</w:t>
      </w:r>
      <w:r>
        <w:rPr>
          <w:b w:val="0"/>
          <w:i w:val="0"/>
          <w:noProof/>
        </w:rPr>
        <w:t xml:space="preserve"> לפתוח משא ומתן עם ספקים כשהחוזה עוד בתוקף, ולשוחח עם משפחות על ציפיות כבר בכיתה י', לפני שיש משבר.</w:t>
      </w:r>
    </w:p>
    <w:p>
      <w:r>
        <w:rPr>
          <w:noProof/>
        </w:rPr>
        <w:br w:type="page"/>
      </w:r>
    </w:p>
    <w:p>
      <w:pPr>
        <w:pStyle w:val="Heading1"/>
      </w:pPr>
      <w:r>
        <w:rPr>
          <w:noProof/>
        </w:rPr>
        <w:t>למידה אישית</w:t>
      </w:r>
    </w:p>
    <w:p>
      <w:r>
        <w:rPr>
          <w:b w:val="0"/>
          <w:i w:val="0"/>
          <w:noProof/>
        </w:rPr>
        <w:t>פרק הלמידה האישית נכתב על ידי כל כותבת בנפרד, והוגש בתיבת ההגשה הנפרדת באתר הקורס, בהתאם להנחיות.</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כארבע מאות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לשלוש מאות תלמידים ולומדים בו כארבע מאות. יש לנו שתי כיתות בקרוונים, אין חדר מדעים אמיתי, והחצר קטנה מדי לארבע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וארבע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רנא (שם בדוי)</w:t>
      </w:r>
    </w:p>
    <w:p>
      <w:r>
        <w:rPr>
          <w:b w:val="0"/>
          <w:i w:val="0"/>
          <w:noProof/>
        </w:rPr>
        <w:t>מנהלת חטיבת ביניים ממלכתית בעיר ערבית בדרום,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בעיר שלנו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כשלוש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העירייה,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העיר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בעיר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בעיר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כשלוש מאות ועשרים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כשלוש מאות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שלוש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עירונית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עירונית,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לארונית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