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80"/>
        <w:jc w:val="center"/>
      </w:pPr>
      <w:r>
        <w:drawing>
          <wp:inline xmlns:a="http://schemas.openxmlformats.org/drawingml/2006/main" xmlns:pic="http://schemas.openxmlformats.org/drawingml/2006/picture">
            <wp:extent cx="1737360" cy="1737360"/>
            <wp:docPr id="1" name="Picture 1"/>
            <wp:cNvGraphicFramePr>
              <a:graphicFrameLocks noChangeAspect="1"/>
            </wp:cNvGraphicFramePr>
            <a:graphic>
              <a:graphicData uri="http://schemas.openxmlformats.org/drawingml/2006/picture">
                <pic:pic>
                  <pic:nvPicPr>
                    <pic:cNvPr id="0" name="960e2fb4-IMG_7818.jpeg"/>
                    <pic:cNvPicPr/>
                  </pic:nvPicPr>
                  <pic:blipFill>
                    <a:blip r:embed="rId9"/>
                    <a:stretch>
                      <a:fillRect/>
                    </a:stretch>
                  </pic:blipFill>
                  <pic:spPr>
                    <a:xfrm>
                      <a:off x="0" y="0"/>
                      <a:ext cx="1737360" cy="1737360"/>
                    </a:xfrm>
                    <a:prstGeom prst="rect"/>
                  </pic:spPr>
                </pic:pic>
              </a:graphicData>
            </a:graphic>
          </wp:inline>
        </w:drawing>
      </w: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 אלה בדיוק העקרונות שנלמדו במצגת על ארגון הסביבה, נגישות דרך אחסון במכלים פתוחים ושקופים, מוקדי משחק שמאפשרים לילד התמצאות ובחירה עצמאית, ותנועה חופשית בטווח הראייה של הצוות.</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160"/>
        <w:jc w:val="both"/>
      </w:pPr>
      <w:r>
        <w:rPr>
          <w:rFonts w:ascii="David" w:hAnsi="David" w:cs="David"/>
          <w:b w:val="0"/>
          <w:i w:val="0"/>
          <w:sz w:val="24"/>
          <w:szCs w:val="24"/>
          <w:rtl w:val="1"/>
        </w:rPr>
        <w:t>מעבר לחצר עצמה, מחקר שבחן תפיסות של גננות לגבי למידה חוץ-גנית בסביבה הטבעית מצא שהגננות רואות בסביבה הטבעית מרחב שמרגיע את הילדים, מזמן להם לפתור קונפליקטים בשיח ולא באלימות, ומעודד שיתוף פעולה ולמידה אותנטית (כדורי-שלזק וסטוק, 2024). בשביל גן שאחד היעדים המרכזיים שלו הוא צמצום אלימות, יציאה קבועה לסביבה הטבעית הקרובה יכולה להיות כלי ממשי ולא רק העשרה, וזה מתחבר גם לתפיסת הגן העתידי שהמחקר נשען עליה.</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זה מתחבר ישירות למודל הגן העתידי שנלמד בקורס, שמוביל אגף החינוך לגיל הרך ורואה בילד לומד יוזם שחוקר ויוצר, וגם לתפיסת רג'יו אמיליה שהוצגה, שרואה בסביבה מעין מחנך נוסף ומעמידה את הסקרנות, היצירתיות ועבודת הצוות במרכז. אלה בדיוק הכישורים שילד צריך היום, לנהל את עצמו, לשתף פעולה ולחקור, והמרחב הפיזי בגן אשכול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במצגת על גיוס משאבים למדנו שגיוס הוא תהליך של איתור, השגה וניהול של אמצעים לטובת שיפור הלמידה, ושעל פי תאוריית גיוס המשאבים הצלחת הארגון תלויה ביכולתו לאסוף ולנצל כמה סוגי משאבים, חומריים, אנושיים, חברתיים ומוסריים. כשבחנתי את גן אשכול דרך החלוקה הזאת ראיתי שלילה נוגעת כמעט בכולם. את המשאבים החומריים, כסף וציוד, היא מגייסת מתקצוב הרשות המקומית וממשרד החינוך, ומעבר לזה גייסה ציוד טכנולוגי וכלים דיגיטליים למיזם הבינה המלאכותית. את המשאב האנושי היא מגייסת דרך שיתוף ההורים בעשייה והתנדבותם בפעילויות ובאירועים. את המשאב החברתי דרך הקשרים עם גורמים בקהילה, ואת המשאב המוסרי והתרבותי דרך מיזם מרמר, שמביא לגן זהות ערכית של סובלנות וקבלת האחר. במילים אחרות, היא מגייסת כסף, אנשים, קשרים וערכים.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 מחקר שבחן את מערך הייעוץ החינוכי לגיל הרך מצא שהייעוץ מסייע לגננות להתמודד עם אתגרים טכנולוגיים ומשפחתיים ועם שילוב ילדים עם צרכים מיוחדים, ותורם לפיתוח מקצועי של הצוות, אך הוא תלוי בתקצוב שעות ייעוץ ובתמיכת הפיקוח (אבוחצירא ובארט, תשפ"ג). זהו בדיוק סוג המשאב שחסר בגן אשכול, ושכדאי לפעול לגייס.</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במצגת על ניהול התקציב הודגש שתקציב אינו רק כסף אלא כלי חינוכי, ושתכנון נכון שלו מקטין מתח ומאפשר קבלת החלטות חינוכיות מושכלות. עם התפיסה הזאת ניגשתי לריאיון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משתנים משנה לשנה לפי מספר הילדים ולפי התוכניות, ולכן אלה הערכות שנתיות בלבד, מבוססות על הטווחים שהוצגו במצגת ועל גודל הגן, שיש לאמת מול הדוח הכספי של לילה. עיקר התקציב השוטף מגיע מסל הגן של משרד החינוך, לצד תקצוב הרשות לתחזוקה ולציוד, תשלומי הרשות של ההורים, ותקציבי מיזמים ותרומות.</w:t>
      </w:r>
    </w:p>
    <w:tbl>
      <w:tblPr>
        <w:tblStyle w:val="TableGrid"/>
        <w:tblW w:type="auto" w:w="0"/>
        <w:jc w:val="right"/>
        <w:tblLook w:firstColumn="1" w:firstRow="1" w:lastColumn="0" w:lastRow="0" w:noHBand="0" w:noVBand="1" w:val="04A0"/>
      </w:tblPr>
      <w:tblGrid>
        <w:gridCol w:w="4680"/>
        <w:gridCol w:w="4680"/>
      </w:tblGrid>
      <w:tr>
        <w:tc>
          <w:tcPr>
            <w:tcW w:type="dxa" w:w="6192"/>
          </w:tcPr>
          <w:p>
            <w:pPr>
              <w:bidi w:val="1"/>
              <w:jc w:val="center"/>
            </w:pPr>
            <w:r/>
            <w:r>
              <w:rPr>
                <w:rFonts w:ascii="David" w:hAnsi="David" w:cs="David"/>
                <w:b/>
                <w:i w:val="0"/>
                <w:sz w:val="22"/>
                <w:szCs w:val="22"/>
                <w:rtl w:val="1"/>
              </w:rPr>
              <w:t>מקור התקציב</w:t>
            </w:r>
          </w:p>
        </w:tc>
        <w:tc>
          <w:tcPr>
            <w:tcW w:type="dxa" w:w="2448"/>
          </w:tcPr>
          <w:p>
            <w:pPr>
              <w:bidi w:val="1"/>
              <w:jc w:val="center"/>
            </w:pPr>
            <w:r/>
            <w:r>
              <w:rPr>
                <w:rFonts w:ascii="David" w:hAnsi="David" w:cs="David"/>
                <w:b/>
                <w:i w:val="0"/>
                <w:sz w:val="22"/>
                <w:szCs w:val="22"/>
                <w:rtl w:val="1"/>
              </w:rPr>
              <w:t>הערכה שנתית (₪)</w:t>
            </w:r>
          </w:p>
        </w:tc>
      </w:tr>
      <w:tr>
        <w:tc>
          <w:tcPr>
            <w:tcW w:type="dxa" w:w="6192"/>
          </w:tcPr>
          <w:p>
            <w:pPr>
              <w:bidi w:val="1"/>
              <w:jc w:val="right"/>
            </w:pPr>
            <w:r/>
            <w:r>
              <w:rPr>
                <w:rFonts w:ascii="David" w:hAnsi="David" w:cs="David"/>
                <w:b w:val="0"/>
                <w:i w:val="0"/>
                <w:sz w:val="22"/>
                <w:szCs w:val="22"/>
                <w:rtl w:val="1"/>
              </w:rPr>
              <w:t>משרד החינוך – סל גן פדגוגי</w:t>
            </w:r>
          </w:p>
        </w:tc>
        <w:tc>
          <w:tcPr>
            <w:tcW w:type="dxa" w:w="2448"/>
          </w:tcPr>
          <w:p>
            <w:pPr>
              <w:bidi w:val="1"/>
              <w:jc w:val="right"/>
            </w:pPr>
            <w:r/>
            <w:r>
              <w:rPr>
                <w:rFonts w:ascii="David" w:hAnsi="David" w:cs="David"/>
                <w:b w:val="0"/>
                <w:i w:val="0"/>
                <w:sz w:val="22"/>
                <w:szCs w:val="22"/>
                <w:rtl w:val="1"/>
              </w:rPr>
              <w:t>כ-5,000</w:t>
            </w:r>
          </w:p>
        </w:tc>
      </w:tr>
      <w:tr>
        <w:tc>
          <w:tcPr>
            <w:tcW w:type="dxa" w:w="6192"/>
          </w:tcPr>
          <w:p>
            <w:pPr>
              <w:bidi w:val="1"/>
              <w:jc w:val="right"/>
            </w:pPr>
            <w:r/>
            <w:r>
              <w:rPr>
                <w:rFonts w:ascii="David" w:hAnsi="David" w:cs="David"/>
                <w:b w:val="0"/>
                <w:i w:val="0"/>
                <w:sz w:val="22"/>
                <w:szCs w:val="22"/>
                <w:rtl w:val="1"/>
              </w:rPr>
              <w:t>הרשות המקומית שגב שלום – תחזוקה וציוד</w:t>
            </w:r>
          </w:p>
        </w:tc>
        <w:tc>
          <w:tcPr>
            <w:tcW w:type="dxa" w:w="2448"/>
          </w:tcPr>
          <w:p>
            <w:pPr>
              <w:bidi w:val="1"/>
              <w:jc w:val="right"/>
            </w:pPr>
            <w:r/>
            <w:r>
              <w:rPr>
                <w:rFonts w:ascii="David" w:hAnsi="David" w:cs="David"/>
                <w:b w:val="0"/>
                <w:i w:val="0"/>
                <w:sz w:val="22"/>
                <w:szCs w:val="22"/>
                <w:rtl w:val="1"/>
              </w:rPr>
              <w:t>כ-6,000</w:t>
            </w:r>
          </w:p>
        </w:tc>
      </w:tr>
      <w:tr>
        <w:tc>
          <w:tcPr>
            <w:tcW w:type="dxa" w:w="6192"/>
          </w:tcPr>
          <w:p>
            <w:pPr>
              <w:bidi w:val="1"/>
              <w:jc w:val="right"/>
            </w:pPr>
            <w:r/>
            <w:r>
              <w:rPr>
                <w:rFonts w:ascii="David" w:hAnsi="David" w:cs="David"/>
                <w:b w:val="0"/>
                <w:i w:val="0"/>
                <w:sz w:val="22"/>
                <w:szCs w:val="22"/>
                <w:rtl w:val="1"/>
              </w:rPr>
              <w:t>תשלומי הורים (תשלומי רשות: ביטוח, טיולים, סל תרבות)</w:t>
            </w:r>
          </w:p>
        </w:tc>
        <w:tc>
          <w:tcPr>
            <w:tcW w:type="dxa" w:w="2448"/>
          </w:tcPr>
          <w:p>
            <w:pPr>
              <w:bidi w:val="1"/>
              <w:jc w:val="right"/>
            </w:pPr>
            <w:r/>
            <w:r>
              <w:rPr>
                <w:rFonts w:ascii="David" w:hAnsi="David" w:cs="David"/>
                <w:b w:val="0"/>
                <w:i w:val="0"/>
                <w:sz w:val="22"/>
                <w:szCs w:val="22"/>
                <w:rtl w:val="1"/>
              </w:rPr>
              <w:t>כ-15,750 (כ-450 לילד × 35)</w:t>
            </w:r>
          </w:p>
        </w:tc>
      </w:tr>
      <w:tr>
        <w:tc>
          <w:tcPr>
            <w:tcW w:type="dxa" w:w="6192"/>
          </w:tcPr>
          <w:p>
            <w:pPr>
              <w:bidi w:val="1"/>
              <w:jc w:val="right"/>
            </w:pPr>
            <w:r/>
            <w:r>
              <w:rPr>
                <w:rFonts w:ascii="David" w:hAnsi="David" w:cs="David"/>
                <w:b w:val="0"/>
                <w:i w:val="0"/>
                <w:sz w:val="22"/>
                <w:szCs w:val="22"/>
                <w:rtl w:val="1"/>
              </w:rPr>
              <w:t>מיזמים ותרומות</w:t>
            </w:r>
          </w:p>
        </w:tc>
        <w:tc>
          <w:tcPr>
            <w:tcW w:type="dxa" w:w="2448"/>
          </w:tcPr>
          <w:p>
            <w:pPr>
              <w:bidi w:val="1"/>
              <w:jc w:val="right"/>
            </w:pPr>
            <w:r/>
            <w:r>
              <w:rPr>
                <w:rFonts w:ascii="David" w:hAnsi="David" w:cs="David"/>
                <w:b w:val="0"/>
                <w:i w:val="0"/>
                <w:sz w:val="22"/>
                <w:szCs w:val="22"/>
                <w:rtl w:val="1"/>
              </w:rPr>
              <w:t>כ-3,000</w:t>
            </w:r>
          </w:p>
        </w:tc>
      </w:tr>
      <w:tr>
        <w:tc>
          <w:tcPr>
            <w:tcW w:type="dxa" w:w="6192"/>
          </w:tcPr>
          <w:p>
            <w:pPr>
              <w:bidi w:val="1"/>
              <w:jc w:val="right"/>
            </w:pPr>
            <w:r/>
            <w:r>
              <w:rPr>
                <w:rFonts w:ascii="David" w:hAnsi="David" w:cs="David"/>
                <w:b w:val="0"/>
                <w:i w:val="0"/>
                <w:sz w:val="22"/>
                <w:szCs w:val="22"/>
                <w:rtl w:val="1"/>
              </w:rPr>
              <w:t>סה"כ מוערך (ללא שכר צוות המשולם מרכזית)</w:t>
            </w:r>
          </w:p>
        </w:tc>
        <w:tc>
          <w:tcPr>
            <w:tcW w:type="dxa" w:w="2448"/>
          </w:tcPr>
          <w:p>
            <w:pPr>
              <w:bidi w:val="1"/>
              <w:jc w:val="right"/>
            </w:pPr>
            <w:r/>
            <w:r>
              <w:rPr>
                <w:rFonts w:ascii="David" w:hAnsi="David" w:cs="David"/>
                <w:b w:val="0"/>
                <w:i w:val="0"/>
                <w:sz w:val="22"/>
                <w:szCs w:val="22"/>
                <w:rtl w:val="1"/>
              </w:rPr>
              <w:t>כ-29,750</w:t>
            </w:r>
          </w:p>
        </w:tc>
      </w:tr>
    </w:tbl>
    <w:p>
      <w:pPr>
        <w:bidi w:val="1"/>
        <w:spacing w:line="360" w:lineRule="auto" w:after="40"/>
        <w:jc w:val="both"/>
      </w:pPr>
    </w:p>
    <w:p>
      <w:pPr>
        <w:bidi w:val="1"/>
        <w:spacing w:line="360" w:lineRule="auto" w:after="160"/>
        <w:jc w:val="both"/>
      </w:pPr>
      <w:r>
        <w:rPr>
          <w:rFonts w:ascii="David" w:hAnsi="David" w:cs="David"/>
          <w:b w:val="0"/>
          <w:i w:val="0"/>
          <w:sz w:val="22"/>
          <w:szCs w:val="22"/>
          <w:rtl w:val="1"/>
        </w:rPr>
        <w:t>שוב, המספרים כאן הם הערכה לצורך הדגמה. יש להחליף אותם בנתונים המדויקים שלילה מנהלת בפועל.</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 שתי העצות מתכתבות עם העקרונות שנלמדו במצגת, לתקצב על פי תוכנית עבודה שנתית, לעקוב מדי חודש כדי למנוע חריגות גדולות, לשמור על שקיפות מול ההורים, ולהשאיר כעשרה אחוזים מהתקציב למקרי חירום ולהוצאות בלתי צפויות.</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 זה בדיוק מה שהודגש בקורס, שניהול תיקי הגן הוא חלק מהתפקיד הניהולי ולא עניין טכני בלבד.</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יש כאן חמלה ורצון לא להכביד עליה, ובמקביל הילדים סופגים את המתח והאווירה בגן נפגעת. התרחיש נוגע בלב התפקיד הניהולי שעליו דיברנו בקורס, האחריות הכפולה של מנהלת הגן, גם כלפי הצוות שלה וגם כלפי הילדים.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מתחברת ישירות למה שנלמד במצגת על ניהול הזמן, שהזמן בגן אינו נקבע לפי השעון אלא לפי שלושה שיקולים שנפגשים, השיקול הפדגוגי של הצוות, צרכי הילדים, וההזדמנויות שעולות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ליעד של לילה לצמצם אלימות וגם למטרות שהוצגו בקורס, יצירת שגרה בטוחה והפחתת מעברים חדים. כלים חזותיים כמו לוח יום מצויר וטיימר צבעוני, שנלמדו במצגת, עוזרים לילדים להבין את המעברים ומורידים את המתח סביבם.</w:t>
      </w:r>
    </w:p>
    <w:p>
      <w:r>
        <w:br w:type="page"/>
      </w:r>
    </w:p>
    <w:p>
      <w:pPr>
        <w:bidi w:val="1"/>
        <w:spacing w:line="360" w:lineRule="auto" w:after="200"/>
        <w:jc w:val="right"/>
      </w:pPr>
      <w:r>
        <w:rPr>
          <w:rFonts w:ascii="David" w:hAnsi="David" w:cs="David"/>
          <w:b/>
          <w:i w:val="0"/>
          <w:sz w:val="30"/>
          <w:szCs w:val="30"/>
          <w:rtl w:val="1"/>
        </w:rPr>
        <w:t>מרכיב 7: ניהול זמן-תכנית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כשאני מסתכלת על כל המרכיבים ביחד, הדבר שהכי התבהר לי הוא שניהול גן איננו שני עולמות נפרדים, האחד פדגוגי והאחר מנהלי, אלא מערכת אחת שבה כל חלק מחזיק את השני. סדר יום מתוכנן מאפשר למידה, תקציב שמנוהל נכון קונה ציוד שמעשיר את הסביבה, סביבה מאורגנת מפחיתה חיכוכים, ותיקים מסודרים שומרים על רצף ועל כבוד הילד. בגן אשכול ראיתי את החיבור הזה עובד, וגם ראיתי היכן הוא נמתח.</w:t>
      </w:r>
    </w:p>
    <w:p>
      <w:pPr>
        <w:bidi w:val="1"/>
        <w:spacing w:line="360" w:lineRule="auto" w:after="160"/>
        <w:jc w:val="both"/>
      </w:pPr>
      <w:r>
        <w:rPr>
          <w:rFonts w:ascii="David" w:hAnsi="David" w:cs="David"/>
          <w:b w:val="0"/>
          <w:i w:val="0"/>
          <w:sz w:val="24"/>
          <w:szCs w:val="24"/>
          <w:rtl w:val="1"/>
        </w:rPr>
        <w:t>החוזק של לילה ברור. היא מנהלת גן עם קו חינוכי, נשענת על טכנולוגיה ועל בינה מלאכותית לא כקישוט, מגייסת משאבים מהקהילה, ומחזיקה סביבה שמכבדת את הילד ומעודדת עצמאות ובחירה. האתגרים שלה אמיתיים לא פחות, הצפיפות של שלושים וחמישה ילדים בחלל אחד, החיכוכים שנובעים ממנה, והיעדר שעות של אנשי מקצוע תומכים. אלה בדיוק המקומות שבהם עבודה מנהלית טובה, פינת רוגע, חצר עשירה יותר, גיוס שעות תמיכה ותוכנית מנהלית מסודרת, יכולה לעשות את ההבדל.</w:t>
      </w:r>
    </w:p>
    <w:p>
      <w:pPr>
        <w:bidi w:val="1"/>
        <w:spacing w:line="360" w:lineRule="auto" w:after="160"/>
        <w:jc w:val="both"/>
      </w:pPr>
      <w:r>
        <w:rPr>
          <w:rFonts w:ascii="David" w:hAnsi="David" w:cs="David"/>
          <w:b w:val="0"/>
          <w:i w:val="0"/>
          <w:sz w:val="24"/>
          <w:szCs w:val="24"/>
          <w:rtl w:val="1"/>
        </w:rPr>
        <w:t>מה שאני לוקחת איתי מההכשרה ומהקורס הוא שהמנהלת היא זו שמאפשרת לכל השאר לקרות. היא לא רק מלמדת, היא בונה את התנאים שבתוכם הלמידה, הבטיחות והשייכות מתקיימים. זו עבודה שקטה שלא תמיד רואים, אבל בלעדיה הגן פשוט לא מחזיק.</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אבוחצירא, א', ובארט, ע' (תשפ"ג). תפיסות של גננות, של יועצות ושל מפקחות גני ילדים בנושא חשיבות הטמעת מערך הייעוץ החינוכי לגיל הרך בגנים חרדיים, ותפיסותיהן בנושא מניעים וחסמים של המערך. </w:t>
      </w:r>
      <w:r>
        <w:rPr>
          <w:rFonts w:ascii="David" w:hAnsi="David" w:cs="David"/>
          <w:b w:val="0"/>
          <w:i/>
          <w:sz w:val="24"/>
          <w:szCs w:val="24"/>
          <w:rtl w:val="1"/>
        </w:rPr>
        <w:t>הייעוץ החינוכי, כד</w:t>
      </w:r>
      <w:r>
        <w:rPr>
          <w:rFonts w:ascii="David" w:hAnsi="David" w:cs="David"/>
          <w:b w:val="0"/>
          <w:i w:val="0"/>
          <w:sz w:val="24"/>
          <w:szCs w:val="24"/>
          <w:rtl w:val="1"/>
        </w:rPr>
        <w:t>, 183-201.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https://www.shaanan.ac.il/laor/ktav_et_yeuz_hinuchi/</w:t>
        </w:r>
      </w:hyperlink>
    </w:p>
    <w:p>
      <w:pPr>
        <w:bidi w:val="1"/>
        <w:spacing w:line="360" w:lineRule="auto" w:after="200"/>
        <w:ind w:left="720" w:hanging="720"/>
        <w:jc w:val="both"/>
      </w:pPr>
      <w:r>
        <w:rPr>
          <w:rFonts w:ascii="David" w:hAnsi="David" w:cs="David"/>
          <w:b w:val="0"/>
          <w:i w:val="0"/>
          <w:sz w:val="24"/>
          <w:szCs w:val="24"/>
          <w:rtl w:val="1"/>
        </w:rPr>
        <w:t xml:space="preserve">כדורי-שלזק, מ', וסטוק, ט' (2024). תפיסות של גננות לגבי למידה חוץ-גנית בסביבה הטבעית. </w:t>
      </w:r>
      <w:r>
        <w:rPr>
          <w:rFonts w:ascii="David" w:hAnsi="David" w:cs="David"/>
          <w:b w:val="0"/>
          <w:i/>
          <w:sz w:val="24"/>
          <w:szCs w:val="24"/>
          <w:rtl w:val="1"/>
        </w:rPr>
        <w:t>חוקרים @ הגיל הרך, 19</w:t>
      </w:r>
      <w:r>
        <w:rPr>
          <w:rFonts w:ascii="David" w:hAnsi="David" w:cs="David"/>
          <w:b w:val="0"/>
          <w:i w:val="0"/>
          <w:sz w:val="24"/>
          <w:szCs w:val="24"/>
          <w:rtl w:val="1"/>
        </w:rPr>
        <w:t>, 61-92.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https://levinsky.dooble.us/wp-content/uploads/2024/11/Issue19_Article3.pdf</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shaanan.ac.il/laor/ktav_et_yeuz_hinuchi/" TargetMode="External"/><Relationship Id="rId11" Type="http://schemas.openxmlformats.org/officeDocument/2006/relationships/hyperlink" Target="https://levinsky.dooble.us/wp-content/uploads/2024/11/Issue19_Article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