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360"/>
        <w:jc w:val="center"/>
      </w:pPr>
      <w:r>
        <w:rPr>
          <w:rFonts w:ascii="David" w:cs="David" w:eastAsia="David" w:hAnsi="David"/>
          <w:b/>
          <w:bCs/>
          <w:sz w:val="32"/>
          <w:szCs w:val="32"/>
          <w:rtl/>
        </w:rPr>
        <w:t xml:space="preserve">הקריה האקדמית אונו</w:t>
      </w:r>
    </w:p>
    <w:p>
      <w:pPr>
        <w:bidi/>
        <w:spacing w:line="360"/>
        <w:jc w:val="center"/>
      </w:pPr>
      <w:r>
        <w:rPr>
          <w:rFonts w:ascii="David" w:cs="David" w:eastAsia="David" w:hAnsi="David"/>
          <w:b w:val="false"/>
          <w:sz w:val="24"/>
          <w:szCs w:val="24"/>
          <w:rtl/>
        </w:rPr>
        <w:t xml:space="preserve">הפקולטה למדעי הרוח</w:t>
      </w:r>
    </w:p>
    <w:p>
      <w:pPr>
        <w:bidi/>
        <w:spacing w:line="360"/>
        <w:jc w:val="center"/>
      </w:pPr>
      <w:r>
        <w:rPr>
          <w:rFonts w:ascii="David" w:cs="David" w:eastAsia="David" w:hAnsi="David"/>
          <w:b w:val="false"/>
          <w:sz w:val="24"/>
          <w:szCs w:val="24"/>
          <w:rt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sz w:val="36"/>
          <w:szCs w:val="36"/>
          <w:rtl/>
        </w:rPr>
        <w:t xml:space="preserve">עבודת סיכום</w:t>
      </w:r>
    </w:p>
    <w:p>
      <w:pPr>
        <w:bidi/>
        <w:spacing w:line="360"/>
        <w:jc w:val="center"/>
      </w:pPr>
      <w:r>
        <w:rPr>
          <w:rFonts w:ascii="David" w:cs="David" w:eastAsia="David" w:hAnsi="David"/>
          <w:b/>
          <w:bCs/>
          <w:sz w:val="30"/>
          <w:szCs w:val="30"/>
          <w:rt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sz w:val="26"/>
          <w:szCs w:val="26"/>
          <w:rtl/>
        </w:rPr>
        <w:t xml:space="preserve">בקורס: התנהגות ארגונית מיקרו ומאקרו</w:t>
      </w:r>
    </w:p>
    <w:p>
      <w:pPr>
        <w:bidi/>
        <w:spacing w:line="360"/>
        <w:jc w:val="center"/>
      </w:pPr>
      <w:r>
        <w:rPr>
          <w:rFonts w:ascii="David" w:cs="David" w:eastAsia="David" w:hAnsi="David"/>
          <w:b w:val="false"/>
          <w:sz w:val="24"/>
          <w:szCs w:val="24"/>
          <w:rtl/>
        </w:rPr>
        <w:t xml:space="preserve">שנת הלימודים תשפ"ו</w:t>
      </w:r>
    </w:p>
    <w:p>
      <w:pPr>
        <w:bidi/>
        <w:spacing w:line="360"/>
      </w:pPr>
    </w:p>
    <w:p>
      <w:pPr>
        <w:bidi/>
        <w:spacing w:line="360"/>
      </w:pPr>
    </w:p>
    <w:p>
      <w:pPr>
        <w:bidi/>
        <w:spacing w:line="360"/>
        <w:jc w:val="center"/>
      </w:pPr>
      <w:r>
        <w:rPr>
          <w:rFonts w:ascii="David" w:cs="David" w:eastAsia="David" w:hAnsi="David"/>
          <w:b/>
          <w:bCs/>
          <w:sz w:val="24"/>
          <w:szCs w:val="24"/>
          <w:rtl/>
        </w:rPr>
        <w:t xml:space="preserve">מוגש על ידי:</w:t>
      </w:r>
    </w:p>
    <w:p>
      <w:pPr>
        <w:bidi/>
        <w:spacing w:line="360"/>
        <w:jc w:val="center"/>
      </w:pPr>
      <w:r>
        <w:rPr>
          <w:rFonts w:ascii="David" w:cs="David" w:eastAsia="David" w:hAnsi="David"/>
          <w:b w:val="false"/>
          <w:sz w:val="24"/>
          <w:szCs w:val="24"/>
          <w:rtl/>
        </w:rPr>
        <w:t xml:space="preserve">[שם מלא]    ת"ז: [_________]</w:t>
      </w:r>
    </w:p>
    <w:p>
      <w:pPr>
        <w:bidi/>
        <w:spacing w:line="360"/>
        <w:jc w:val="center"/>
      </w:pPr>
      <w:r>
        <w:rPr>
          <w:rFonts w:ascii="David" w:cs="David" w:eastAsia="David" w:hAnsi="David"/>
          <w:b w:val="false"/>
          <w:sz w:val="24"/>
          <w:szCs w:val="24"/>
          <w:rtl/>
        </w:rPr>
        <w:t xml:space="preserve">[שם מלא]    ת"ז: [_________]</w:t>
      </w:r>
    </w:p>
    <w:p>
      <w:pPr>
        <w:bidi/>
        <w:spacing w:line="360"/>
      </w:pPr>
    </w:p>
    <w:p>
      <w:pPr>
        <w:bidi/>
        <w:spacing w:line="360"/>
      </w:pPr>
    </w:p>
    <w:p>
      <w:pPr>
        <w:bidi/>
        <w:spacing w:line="360"/>
        <w:jc w:val="center"/>
      </w:pPr>
      <w:r>
        <w:rPr>
          <w:rFonts w:ascii="David" w:cs="David" w:eastAsia="David" w:hAnsi="David"/>
          <w:b w:val="false"/>
          <w:sz w:val="24"/>
          <w:szCs w:val="24"/>
          <w:rtl/>
        </w:rPr>
        <w:t xml:space="preserve">שם המרצה: ד"ר אילן פרידריך</w:t>
      </w:r>
    </w:p>
    <w:p>
      <w:pPr>
        <w:bidi/>
        <w:spacing w:line="360"/>
        <w:jc w:val="center"/>
      </w:pPr>
      <w:r>
        <w:rPr>
          <w:rFonts w:ascii="David" w:cs="David" w:eastAsia="David" w:hAnsi="David"/>
          <w:b w:val="false"/>
          <w:sz w:val="24"/>
          <w:szCs w:val="24"/>
          <w:rtl/>
        </w:rPr>
        <w:t xml:space="preserve">תאריך ההגשה: [__/__/2026]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sz w:val="32"/>
          <w:szCs w:val="32"/>
          <w:rtl/>
        </w:rPr>
        <w:t xml:space="preserve">חלק א': תוכנית "פיתוח מנהלים" לדרג הביניים</w:t>
      </w:r>
    </w:p>
    <w:p>
      <w:pPr>
        <w:bidi/>
        <w:spacing w:after="120" w:line="360"/>
        <w:jc w:val="both"/>
      </w:pPr>
      <w:r>
        <w:rPr>
          <w:rFonts w:ascii="David" w:cs="David" w:eastAsia="David" w:hAnsi="David"/>
          <w:sz w:val="24"/>
          <w:szCs w:val="24"/>
          <w:rt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 כל אחד מארבעת המפגשים בנוי כהרצאה: הסבר המושגים, עיגונם במודלים ובמחקר, והצגת הזיקה בין שני הנושאים של המפגש, בתוספת המלצה מעשית אחת שהמשתתפים לוקחים איתם ליחידה.</w:t>
      </w:r>
    </w:p>
    <w:p>
      <w:pPr>
        <w:keepNext/>
        <w:bidi/>
        <w:spacing w:after="80" w:before="200" w:line="360"/>
        <w:jc w:val="right"/>
      </w:pPr>
      <w:r>
        <w:rPr>
          <w:rFonts w:ascii="David" w:cs="David" w:eastAsia="David" w:hAnsi="David"/>
          <w:b/>
          <w:bCs/>
          <w:sz w:val="28"/>
          <w:szCs w:val="28"/>
          <w:rtl/>
        </w:rPr>
        <w:t xml:space="preserve">מפגש 1: אישיות ולחץ בעבודה</w:t>
      </w:r>
    </w:p>
    <w:p>
      <w:pPr>
        <w:bidi/>
        <w:spacing w:after="120" w:line="360"/>
        <w:jc w:val="both"/>
      </w:pPr>
      <w:r>
        <w:rPr>
          <w:rFonts w:ascii="David" w:cs="David" w:eastAsia="David" w:hAnsi="David"/>
          <w:sz w:val="24"/>
          <w:szCs w:val="24"/>
          <w:rt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sz w:val="24"/>
          <w:szCs w:val="24"/>
          <w:rtl/>
        </w:rPr>
        <w:t xml:space="preserve">אישיות</w:t>
      </w:r>
    </w:p>
    <w:p>
      <w:pPr>
        <w:bidi/>
        <w:spacing w:after="120" w:line="360"/>
        <w:jc w:val="both"/>
      </w:pPr>
      <w:r>
        <w:rPr>
          <w:rFonts w:ascii="David" w:cs="David" w:eastAsia="David" w:hAnsi="David"/>
          <w:sz w:val="24"/>
          <w:szCs w:val="24"/>
          <w:rtl/>
        </w:rPr>
        <w:t xml:space="preserve">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sz w:val="24"/>
          <w:szCs w:val="24"/>
          <w:rtl/>
        </w:rPr>
        <w:t xml:space="preserve">‏</w:t>
      </w:r>
      <w:r>
        <w:rPr>
          <w:rFonts w:ascii="David" w:cs="David" w:eastAsia="David" w:hAnsi="David"/>
          <w:sz w:val="24"/>
          <w:szCs w:val="24"/>
          <w:rtl w:val="false"/>
        </w:rPr>
        <w:t xml:space="preserve">Big Five</w:t>
      </w:r>
      <w:r>
        <w:rPr>
          <w:rFonts w:ascii="David" w:cs="David" w:eastAsia="David" w:hAnsi="David"/>
          <w:sz w:val="24"/>
          <w:szCs w:val="24"/>
          <w:rtl/>
        </w:rPr>
        <w:t xml:space="preserve">‏</w:t>
      </w:r>
      <w:r>
        <w:rPr>
          <w:rFonts w:ascii="David" w:cs="David" w:eastAsia="David" w:hAnsi="David"/>
          <w:sz w:val="24"/>
          <w:szCs w:val="24"/>
          <w:rt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לכל אחד מהגורמים ביטוי מוכר במקום העבודה. עובד מצפוני מתכנן, עומד בלוחות זמנים ומקפיד על פרטים. עובד מוחצן שואב אנרגיה מאנשים ונוטה לפנות לעזרה כשקשה לו. עובד נעים מעדיף שיתוף פעולה ונמנע מעימות, לעיתים גם כשעימות נחוץ. עובד פתוח לחוויות מתמודד טוב יותר עם שינויים ועם משימות לא מוגדרות. לעומתם, עובד בעל יציבות רגשית נמוכה חווה ביתר עוצמה רגשות שליליים כמו דאגה, כעס ותסכול. חשוב לזכור שמדובר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sz w:val="24"/>
          <w:szCs w:val="24"/>
          <w:rtl/>
        </w:rPr>
        <w:t xml:space="preserve">לחץ בעבודה ושחיקה</w:t>
      </w:r>
    </w:p>
    <w:p>
      <w:pPr>
        <w:bidi/>
        <w:spacing w:after="120" w:line="360"/>
        <w:jc w:val="both"/>
      </w:pPr>
      <w:r>
        <w:rPr>
          <w:rFonts w:ascii="David" w:cs="David" w:eastAsia="David" w:hAnsi="David"/>
          <w:sz w:val="24"/>
          <w:szCs w:val="24"/>
          <w:rtl/>
        </w:rPr>
        <w:t xml:space="preserve">בספרות מקובלות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sz w:val="24"/>
          <w:szCs w:val="24"/>
          <w:rtl/>
        </w:rPr>
        <w:t xml:space="preserve">לא כל לחץ מזיק. רמה מתונה של לחץ מגייסת קשב ומאמץ, ועובדים רבים מדווחים שהם עובדים טוב יותר מול לוח זמנים ברור. הבעיה מתחילה כשהלחץ נעשה כרוני, כשאין הפוגה בין עומס לעומס, וכשהעובד מרגיש שאין לו שליטה על מה שקורה לו. בנקודה זו הגוף והנפש נשארים במצב דריכות קבוע, והמשאבים מתכלים.</w:t>
      </w:r>
    </w:p>
    <w:p>
      <w:pPr>
        <w:bidi/>
        <w:spacing w:after="120" w:line="360"/>
        <w:jc w:val="both"/>
      </w:pPr>
      <w:r>
        <w:rPr>
          <w:rFonts w:ascii="David" w:cs="David" w:eastAsia="David" w:hAnsi="David"/>
          <w:sz w:val="24"/>
          <w:szCs w:val="24"/>
          <w:rtl/>
        </w:rPr>
        <w:t xml:space="preserve">המודל שמחבר בין שלוש ההגדרות הוא המודל הטרנזקציוני של לזרוס ופולקמן (</w:t>
      </w:r>
      <w:r>
        <w:rPr>
          <w:rFonts w:ascii="David" w:cs="David" w:eastAsia="David" w:hAnsi="David"/>
          <w:sz w:val="24"/>
          <w:szCs w:val="24"/>
          <w:rtl/>
        </w:rPr>
        <w:t xml:space="preserve">‏</w:t>
      </w:r>
      <w:r>
        <w:rPr>
          <w:rFonts w:ascii="David" w:cs="David" w:eastAsia="David" w:hAnsi="David"/>
          <w:sz w:val="24"/>
          <w:szCs w:val="24"/>
          <w:rtl w:val="false"/>
        </w:rPr>
        <w:t xml:space="preserve">Lazarus &amp; Folkman, 1984</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sz w:val="24"/>
          <w:szCs w:val="24"/>
          <w:rtl/>
        </w:rPr>
        <w:t xml:space="preserve">הזיקה בין אישיות ללחץ</w:t>
      </w:r>
    </w:p>
    <w:p>
      <w:pPr>
        <w:bidi/>
        <w:spacing w:after="120" w:line="360"/>
        <w:jc w:val="both"/>
      </w:pPr>
      <w:r>
        <w:rPr>
          <w:rFonts w:ascii="David" w:cs="David" w:eastAsia="David" w:hAnsi="David"/>
          <w:sz w:val="24"/>
          <w:szCs w:val="24"/>
          <w:rtl/>
        </w:rPr>
        <w:t xml:space="preserve">כאן נכנסת האישיות.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sz w:val="24"/>
          <w:szCs w:val="24"/>
          <w:rt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sz w:val="24"/>
          <w:szCs w:val="24"/>
          <w:rt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sz w:val="28"/>
          <w:szCs w:val="28"/>
          <w:rtl/>
        </w:rPr>
        <w:t xml:space="preserve">מפגש 2: תיאוריית ההוגנות של אדמס, תיאוריית הצרכים של מקללנד ודור ה-Y</w:t>
      </w:r>
    </w:p>
    <w:p>
      <w:pPr>
        <w:bidi/>
        <w:spacing w:after="120" w:line="360"/>
        <w:jc w:val="both"/>
      </w:pPr>
      <w:r>
        <w:rPr>
          <w:rFonts w:ascii="David" w:cs="David" w:eastAsia="David" w:hAnsi="David"/>
          <w:sz w:val="24"/>
          <w:szCs w:val="24"/>
          <w:rtl/>
        </w:rPr>
        <w:t xml:space="preserve">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sz w:val="24"/>
          <w:szCs w:val="24"/>
          <w:rtl/>
        </w:rPr>
        <w:t xml:space="preserve">תיאוריית ההוגנות של אדמס</w:t>
      </w:r>
    </w:p>
    <w:p>
      <w:pPr>
        <w:bidi/>
        <w:spacing w:after="120" w:line="360"/>
        <w:jc w:val="both"/>
      </w:pPr>
      <w:r>
        <w:rPr>
          <w:rFonts w:ascii="David" w:cs="David" w:eastAsia="David" w:hAnsi="David"/>
          <w:sz w:val="24"/>
          <w:szCs w:val="24"/>
          <w:rt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sz w:val="24"/>
          <w:szCs w:val="24"/>
          <w:rtl/>
        </w:rPr>
        <w:t xml:space="preserve">תיאוריית הצרכים של מקללנד</w:t>
      </w:r>
    </w:p>
    <w:p>
      <w:pPr>
        <w:bidi/>
        <w:spacing w:after="120" w:line="360"/>
        <w:jc w:val="both"/>
      </w:pPr>
      <w:r>
        <w:rPr>
          <w:rFonts w:ascii="David" w:cs="David" w:eastAsia="David" w:hAnsi="David"/>
          <w:sz w:val="24"/>
          <w:szCs w:val="24"/>
          <w:rt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sz w:val="24"/>
          <w:szCs w:val="24"/>
          <w:rtl/>
        </w:rPr>
        <w:t xml:space="preserve">‏</w:t>
      </w:r>
      <w:r>
        <w:rPr>
          <w:rFonts w:ascii="David" w:cs="David" w:eastAsia="David" w:hAnsi="David"/>
          <w:sz w:val="24"/>
          <w:szCs w:val="24"/>
          <w:rtl w:val="false"/>
        </w:rPr>
        <w:t xml:space="preserve">McClelland, 1985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sz w:val="24"/>
          <w:szCs w:val="24"/>
          <w:rtl/>
        </w:rPr>
        <w:t xml:space="preserve">‏</w:t>
      </w:r>
      <w:r>
        <w:rPr>
          <w:rFonts w:ascii="David" w:cs="David" w:eastAsia="David" w:hAnsi="David"/>
          <w:sz w:val="24"/>
          <w:szCs w:val="24"/>
          <w:rtl w:val="false"/>
        </w:rPr>
        <w:t xml:space="preserve">McClelland &amp; Boyatzis, 1982</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sz w:val="24"/>
          <w:szCs w:val="24"/>
          <w:rt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sz w:val="24"/>
          <w:szCs w:val="24"/>
          <w:rtl/>
        </w:rPr>
        <w:t xml:space="preserve">דור ה-Y</w:t>
      </w:r>
    </w:p>
    <w:p>
      <w:pPr>
        <w:bidi/>
        <w:spacing w:after="120" w:line="360"/>
        <w:jc w:val="both"/>
      </w:pPr>
      <w:r>
        <w:rPr>
          <w:rFonts w:ascii="David" w:cs="David" w:eastAsia="David" w:hAnsi="David"/>
          <w:sz w:val="24"/>
          <w:szCs w:val="24"/>
          <w:rtl/>
        </w:rPr>
        <w:t xml:space="preserve">דור ה-Y, ילידי תחילת שנות השמונים עד אמצע שנות התשעים, מתואר בדרך כלל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sz w:val="24"/>
          <w:szCs w:val="24"/>
          <w:rtl/>
        </w:rPr>
        <w:t xml:space="preserve">בני הדור גדלו בתקופה של שינויים טכנולוגיים מהירים, וחוו כאירועים מכוננים את פיגועי 11 בספטמבר ואת התפוצצות בועת ההייטק. מכאן מוסבר, לפי התיאור המקובל, החשדנות כלפי הבטחות ארוכות טווח של ארגונים והנטייה להשקיע בקריירה האישית ולא במקום העבודה. במקום העבודה הישראלי הם כבר אינם "הצעירים": רבים מהם הם היום בדיוק אותם מנהלי ביניים שהתוכנית פונה אליהם, והם מנהלים עובדים מדור ה-Z.</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bidi/>
        <w:spacing w:after="120" w:line="360"/>
        <w:jc w:val="both"/>
      </w:pPr>
      <w:r>
        <w:rPr>
          <w:rFonts w:ascii="David" w:cs="David" w:eastAsia="David" w:hAnsi="David"/>
          <w:sz w:val="24"/>
          <w:szCs w:val="24"/>
          <w:rtl/>
        </w:rPr>
        <w:t xml:space="preserve">לשילוב של שלושת הנושאים יש גם מלכודת. מנהל ביניים שמשייך את עצמו לדור ה-X או לדור ה-Y עלול לפרש התנהגות של עובד צעיר דרך ההשוואה לעצמו, ולזהות "חוסר מחויבות" במקום שבו יש בפועל צורך שונה או תחושת קיפוח. השאלה "מה מניע את העובד הזה" עדיפה תמיד על השאלה "מה מאפיין את הדור שלו".</w:t>
      </w:r>
    </w:p>
    <w:p>
      <w:pPr>
        <w:keepNext/>
        <w:bidi/>
        <w:spacing w:after="80" w:before="200" w:line="360"/>
        <w:jc w:val="right"/>
      </w:pPr>
      <w:r>
        <w:rPr>
          <w:rFonts w:ascii="David" w:cs="David" w:eastAsia="David" w:hAnsi="David"/>
          <w:b/>
          <w:bCs/>
          <w:sz w:val="28"/>
          <w:szCs w:val="28"/>
          <w:rtl/>
        </w:rPr>
        <w:t xml:space="preserve">מפגש 3: התעמרות בעבודה ותרבות ארגונית</w:t>
      </w:r>
    </w:p>
    <w:p>
      <w:pPr>
        <w:bidi/>
        <w:spacing w:after="120" w:line="360"/>
        <w:jc w:val="both"/>
      </w:pPr>
      <w:r>
        <w:rPr>
          <w:rFonts w:ascii="David" w:cs="David" w:eastAsia="David" w:hAnsi="David"/>
          <w:sz w:val="24"/>
          <w:szCs w:val="24"/>
          <w:rt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sz w:val="24"/>
          <w:szCs w:val="24"/>
          <w:rtl/>
        </w:rPr>
        <w:t xml:space="preserve">התעמרות בעבודה</w:t>
      </w:r>
    </w:p>
    <w:p>
      <w:pPr>
        <w:bidi/>
        <w:spacing w:after="120" w:line="360"/>
        <w:jc w:val="both"/>
      </w:pPr>
      <w:r>
        <w:rPr>
          <w:rFonts w:ascii="David" w:cs="David" w:eastAsia="David" w:hAnsi="David"/>
          <w:sz w:val="24"/>
          <w:szCs w:val="24"/>
          <w:rtl/>
        </w:rPr>
        <w:t xml:space="preserve">התעמרות היא מצב מתמשך, בדרך כלל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 לפי גישתה, הפגיעה אינה רק בבריאות ובתפקוד של העובד אלא בכבודו, ולכן יש לה משמעות ערכית ולא רק מקצועית.</w:t>
      </w:r>
    </w:p>
    <w:p>
      <w:pPr>
        <w:bidi/>
        <w:spacing w:after="120" w:line="360"/>
        <w:jc w:val="both"/>
      </w:pPr>
      <w:r>
        <w:rPr>
          <w:rFonts w:ascii="David" w:cs="David" w:eastAsia="David" w:hAnsi="David"/>
          <w:sz w:val="24"/>
          <w:szCs w:val="24"/>
          <w:rt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sz w:val="24"/>
          <w:szCs w:val="24"/>
          <w:rtl/>
        </w:rPr>
        <w:t xml:space="preserve">‏</w:t>
      </w:r>
      <w:r>
        <w:rPr>
          <w:rFonts w:ascii="David" w:cs="David" w:eastAsia="David" w:hAnsi="David"/>
          <w:sz w:val="24"/>
          <w:szCs w:val="24"/>
          <w:rtl w:val="false"/>
        </w:rPr>
        <w:t xml:space="preserve">Leymann, 1996</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הממצא הזה מסיט את תשומת הלב מ"מי הפוגע" אל "מה בסביבה מאפשר לו לפגוע".</w:t>
      </w:r>
    </w:p>
    <w:p>
      <w:pPr>
        <w:bidi/>
        <w:spacing w:after="120" w:line="360"/>
        <w:jc w:val="both"/>
      </w:pPr>
      <w:r>
        <w:rPr>
          <w:rFonts w:ascii="David" w:cs="David" w:eastAsia="David" w:hAnsi="David"/>
          <w:sz w:val="24"/>
          <w:szCs w:val="24"/>
          <w:rt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sz w:val="24"/>
          <w:szCs w:val="24"/>
          <w:rtl/>
        </w:rPr>
        <w:t xml:space="preserve">תרבות ארגונית</w:t>
      </w:r>
    </w:p>
    <w:p>
      <w:pPr>
        <w:bidi/>
        <w:spacing w:after="120" w:line="360"/>
        <w:jc w:val="both"/>
      </w:pPr>
      <w:r>
        <w:rPr>
          <w:rFonts w:ascii="David" w:cs="David" w:eastAsia="David" w:hAnsi="David"/>
          <w:sz w:val="24"/>
          <w:szCs w:val="24"/>
          <w:rtl/>
        </w:rPr>
        <w:t xml:space="preserve">שיין הגדיר תרבות ארגונית כדפוס של הנחות יסוד משותפות, שהקבוצה למדה בהתמודדות עם בעיותיה ושמועבר לחברים חדשים כדרך הנכונה לחשוב ולפעול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לפי המודל שלו לתרבות שלוש רמות: תוצרים גלויים (לבוש, סידור המשרד, טקסים), ערכים מוצהרים (חזון, קוד אתי) והנחות יסוד סמויות, שהן הרמה העמוקה ביותר ומכתיבות בפועל את ההתנהגות. מודל הערכים המתחרים (</w:t>
      </w:r>
      <w:r>
        <w:rPr>
          <w:rFonts w:ascii="David" w:cs="David" w:eastAsia="David" w:hAnsi="David"/>
          <w:sz w:val="24"/>
          <w:szCs w:val="24"/>
          <w:rtl/>
        </w:rPr>
        <w:t xml:space="preserve">‏</w:t>
      </w:r>
      <w:r>
        <w:rPr>
          <w:rFonts w:ascii="David" w:cs="David" w:eastAsia="David" w:hAnsi="David"/>
          <w:sz w:val="24"/>
          <w:szCs w:val="24"/>
          <w:rtl w:val="false"/>
        </w:rPr>
        <w:t xml:space="preserve">Competing Values Framework</w:t>
      </w:r>
      <w:r>
        <w:rPr>
          <w:rFonts w:ascii="David" w:cs="David" w:eastAsia="David" w:hAnsi="David"/>
          <w:sz w:val="24"/>
          <w:szCs w:val="24"/>
          <w:rtl/>
        </w:rPr>
        <w:t xml:space="preserve">‏</w:t>
      </w:r>
      <w:r>
        <w:rPr>
          <w:rFonts w:ascii="David" w:cs="David" w:eastAsia="David" w:hAnsi="David"/>
          <w:sz w:val="24"/>
          <w:szCs w:val="24"/>
          <w:rtl/>
        </w:rPr>
        <w:t xml:space="preserve">) מאפיין תרבויות לפי שני צירים: מיקוד פנימי מול חיצוני, וגמישות מול שליטה. מהצירים נגזרות ארבע תרבויות: צוותית (משפחתית), חדשנית, משימתית (שוק) והיררכית. בכל ארגון קיימות כל הארבע, אך בדרך כלל אחת או שתיים דומיננטיות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כל אחת מארבע התרבויות מדגישה ערכים אחרים. התרבות הצוותית מדגישה שייכות, מחויבות ופיתוח אנשים, והמנהל בה פועל כמנטור. התרבות החדשנית מדגישה יזמות, גמישות ונכונות לקחת סיכונים. התרבות המשימתית מדגישה תחרות, השגת יעדים ותוצאות מדידות. התרבות ההיררכית מדגישה כללים, יציבות ובקרה. הערכים שבפינות המנוגדות של המודל מתנגשים זה בזה, למשל גמישות מול שליטה, ולכן ארגון שמנסה לחזק את כולם במקביל חי במתח מתמיד.</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"הצקה מתקיימת רק בתרבות ארגונית שמעודדת או מאפשרת התנהגות כזו" (כהן, 2004, כפי שמצוטט אצל קמיר, 2018, עמ' 309). ארגון יכול להצהיר על כבוד הדדי ברמת הערכים המוצהרים, ובאותו זמן להחזיק בהנחת יסוד שלפיה "מי שלא עומד בלחץ לא מתאים לכאן". הפער בין שתי הרמות של שיין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הוא בדיוק המקום שבו התעמרות מתקיימת בלי שאיש יקרא לה בשמה. ניתן גם לקשור את גורמי הסיכון שזוהו בסקירה של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לפרופילים של מודל הערכים המתחרים: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מסכמים שמדיניות למניעת התעמרות חייבת לטפל בתרבות הארגון עצמה. גם תרבות צוותית אינה חסינה, שכן נאמנות לקבוצה עלולה להוביל לשתיקה. קמיר (2018) מדגישה שכבוד האדם צריך להפוך מערך מוצהר לנורמה מחייבת, וזו בדיוק העבודה של מנהל הביניים: הוא זה שמתרגם ערכים להתנהגות יומיומית. שיין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הדגיש שמנהלים מטמיעים תרבות בעיקר דרך מה שהם שמים לב אליו, מודדים ומתגמלים, ודרך האופן שבו הם מגיבים לאירועים קריטיים.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sz w:val="28"/>
          <w:szCs w:val="28"/>
          <w:rtl/>
        </w:rPr>
        <w:t xml:space="preserve">מפגש 4: התנהגות אזרחית ואישיות מקיאווליסטית</w:t>
      </w:r>
    </w:p>
    <w:p>
      <w:pPr>
        <w:bidi/>
        <w:spacing w:after="120" w:line="360"/>
        <w:jc w:val="both"/>
      </w:pPr>
      <w:r>
        <w:rPr>
          <w:rFonts w:ascii="David" w:cs="David" w:eastAsia="David" w:hAnsi="David"/>
          <w:sz w:val="24"/>
          <w:szCs w:val="24"/>
          <w:rt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sz w:val="24"/>
          <w:szCs w:val="24"/>
          <w:rtl/>
        </w:rPr>
        <w:t xml:space="preserve">התנהגות אזרחית בארגון</w:t>
      </w:r>
    </w:p>
    <w:p>
      <w:pPr>
        <w:bidi/>
        <w:spacing w:after="120" w:line="360"/>
        <w:jc w:val="both"/>
      </w:pPr>
      <w:r>
        <w:rPr>
          <w:rFonts w:ascii="David" w:cs="David" w:eastAsia="David" w:hAnsi="David"/>
          <w:sz w:val="24"/>
          <w:szCs w:val="24"/>
          <w:rt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sz w:val="24"/>
          <w:szCs w:val="24"/>
          <w:rtl/>
        </w:rPr>
        <w:t xml:space="preserve">‏</w:t>
      </w:r>
      <w:r>
        <w:rPr>
          <w:rFonts w:ascii="David" w:cs="David" w:eastAsia="David" w:hAnsi="David"/>
          <w:sz w:val="24"/>
          <w:szCs w:val="24"/>
          <w:rtl w:val="false"/>
        </w:rPr>
        <w:t xml:space="preserve">Organ, 1988</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sz w:val="24"/>
          <w:szCs w:val="24"/>
          <w:rtl/>
        </w:rPr>
        <w:t xml:space="preserve">‏</w:t>
      </w:r>
      <w:r>
        <w:rPr>
          <w:rFonts w:ascii="David" w:cs="David" w:eastAsia="David" w:hAnsi="David"/>
          <w:sz w:val="24"/>
          <w:szCs w:val="24"/>
          <w:rtl w:val="false"/>
        </w:rPr>
        <w:t xml:space="preserve">Podsakoff et al., 2000</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39-40). ביטוייה הם עזרה לעמיתים, הקשבה לבעיות של אחרים, שיתוף במידע, הצעות לשיפור, דיוק בזמנים, שמירה על רכוש הארגון ונכונות להשלים משימות אחרי שעות העבודה. מקובל להבחין בין התנהגות אזרחית המכוונת לפרטים (עזרה לעמית) לבין התנהגות המכוונת לארגון כולו (שמירה על נהלים, השתתפות בפעילות ארגונית)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לצד ההתנהגות האזרחית קיימת תמונת מראה שלה: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sz w:val="24"/>
          <w:szCs w:val="24"/>
          <w:rtl/>
        </w:rPr>
        <w:t xml:space="preserve">‏</w:t>
      </w:r>
      <w:r>
        <w:rPr>
          <w:rFonts w:ascii="David" w:cs="David" w:eastAsia="David" w:hAnsi="David"/>
          <w:sz w:val="24"/>
          <w:szCs w:val="24"/>
          <w:rtl w:val="false"/>
        </w:rPr>
        <w:t xml:space="preserve">counterproductive work behavior</w:t>
      </w:r>
      <w:r>
        <w:rPr>
          <w:rFonts w:ascii="David" w:cs="David" w:eastAsia="David" w:hAnsi="David"/>
          <w:sz w:val="24"/>
          <w:szCs w:val="24"/>
          <w:rtl/>
        </w:rPr>
        <w:t xml:space="preserve">‏</w:t>
      </w:r>
      <w:r>
        <w:rPr>
          <w:rFonts w:ascii="David" w:cs="David" w:eastAsia="David" w:hAnsi="David"/>
          <w:sz w:val="24"/>
          <w:szCs w:val="24"/>
          <w:rt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האישיות המקיאווליסטית</w:t>
      </w:r>
    </w:p>
    <w:p>
      <w:pPr>
        <w:bidi/>
        <w:spacing w:after="120" w:line="360"/>
        <w:jc w:val="both"/>
      </w:pPr>
      <w:r>
        <w:rPr>
          <w:rFonts w:ascii="David" w:cs="David" w:eastAsia="David" w:hAnsi="David"/>
          <w:sz w:val="24"/>
          <w:szCs w:val="24"/>
          <w:rtl/>
        </w:rPr>
        <w:t xml:space="preserve">המושג נגזר מכתביו של מקיאוולי, ובפסיכולוגיה הוא מתאר נטייה לראות באנשים אחרים אמצעי, להשתמש במניפולציה ובהונאה כדי להשיג מטרות, ולהחזיק בעמדה צינית כלפי מוסר (</w:t>
      </w:r>
      <w:r>
        <w:rPr>
          <w:rFonts w:ascii="David" w:cs="David" w:eastAsia="David" w:hAnsi="David"/>
          <w:sz w:val="24"/>
          <w:szCs w:val="24"/>
          <w:rtl/>
        </w:rPr>
        <w:t xml:space="preserve">‏</w:t>
      </w:r>
      <w:r>
        <w:rPr>
          <w:rFonts w:ascii="David" w:cs="David" w:eastAsia="David" w:hAnsi="David"/>
          <w:sz w:val="24"/>
          <w:szCs w:val="24"/>
          <w:rtl w:val="false"/>
        </w:rPr>
        <w:t xml:space="preserve">Christie &amp; Geis, 1970</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יחד עם נרקיסיזם ופסיכופתיה הוא נמנה עם "השלישייה האפלה" של האישיות. מקיאווליסט אינו בהכרח אימפולסיבי. הוא מחושב, קורא היטב את מפת האינטרסים ויודע להיראות נעים כשזה משתלם.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במבט ראשון נראה שמקיאווליסטים פשוט יתנהגו פחות באופן אזרחי, והנתונים אכן מראים קשר שלילי. אבל התמונה מעניינת יותר. בקר ואו'הייר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בחנו 606 עובדים, יחד עם הממונים ועמיתיהם, ומצאו שהקשר השלילי חזק יותר בהתנהגות המכוונת לארגון מאשר בהתנהגות המכוונת לפרטים. כשמקיאווליסטים כן מתנהגים באופן אזרחי, המניע שלהם הוא ניהול רושם ולא דאגה לארגון או ערכים פרו-חברתיים. כלומר, הם עוזרים כשרואים אותם ולמי שיכול לתגמל אותם. מכאן שאותה התנהגות גלויה יכולה לבטא אכפתיות אמיתית אצל עובד אחד וחישוב קר אצל אחר.</w:t>
      </w:r>
    </w:p>
    <w:p>
      <w:pPr>
        <w:bidi/>
        <w:spacing w:after="120" w:line="360"/>
        <w:jc w:val="both"/>
      </w:pPr>
      <w:r>
        <w:rPr>
          <w:rFonts w:ascii="David" w:cs="David" w:eastAsia="David" w:hAnsi="David"/>
          <w:sz w:val="24"/>
          <w:szCs w:val="24"/>
          <w:rt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שוחק את ההתנהגות האזרחית של היחידה כולה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ההמלצה למשתתפים היא לבחון במערכת ההערכה ביחידה שלהם אילו התנהגויות אזרחיות נראות ומתוגמלות, ואילו נעשות בשקט ואינן זוכות לאף הכרה.</w:t>
      </w:r>
    </w:p>
    <w:p>
      <w:r>
        <w:br w:type="page"/>
      </w:r>
    </w:p>
    <w:p>
      <w:pPr>
        <w:keepNext/>
        <w:bidi/>
        <w:spacing w:after="80" w:before="200" w:line="360"/>
        <w:jc w:val="center"/>
      </w:pPr>
      <w:r>
        <w:rPr>
          <w:rFonts w:ascii="David" w:cs="David" w:eastAsia="David" w:hAnsi="David"/>
          <w:b/>
          <w:bCs/>
          <w:sz w:val="32"/>
          <w:szCs w:val="32"/>
          <w:rtl/>
        </w:rPr>
        <w:t xml:space="preserve">חלק ב': רפלקציה</w:t>
      </w:r>
    </w:p>
    <w:p>
      <w:pPr>
        <w:keepNext/>
        <w:bidi/>
        <w:spacing w:after="80" w:before="200" w:line="360"/>
        <w:jc w:val="right"/>
      </w:pPr>
      <w:r>
        <w:rPr>
          <w:rFonts w:ascii="David" w:cs="David" w:eastAsia="David" w:hAnsi="David"/>
          <w:b/>
          <w:bCs/>
          <w:sz w:val="28"/>
          <w:szCs w:val="28"/>
          <w:rtl/>
        </w:rPr>
        <w:t xml:space="preserve">רפלקציה: [שם מלא של סטודנט/ית א']</w:t>
      </w:r>
    </w:p>
    <w:p>
      <w:pPr>
        <w:keepNext/>
        <w:bidi/>
        <w:spacing w:after="80" w:before="60" w:line="360"/>
        <w:jc w:val="right"/>
      </w:pPr>
      <w:r>
        <w:rPr>
          <w:rFonts w:ascii="David" w:cs="David" w:eastAsia="David" w:hAnsi="David"/>
          <w:b/>
          <w:bCs/>
          <w:sz w:val="24"/>
          <w:szCs w:val="24"/>
          <w:rtl/>
        </w:rPr>
        <w:t xml:space="preserve">נושא ראשון: אישיות ולחץ בעבודה</w:t>
      </w:r>
    </w:p>
    <w:p>
      <w:pPr>
        <w:bidi/>
        <w:spacing w:after="120" w:line="360"/>
        <w:jc w:val="both"/>
      </w:pPr>
      <w:r>
        <w:rPr>
          <w:rFonts w:ascii="David" w:cs="David" w:eastAsia="David" w:hAnsi="David"/>
          <w:sz w:val="24"/>
          <w:szCs w:val="24"/>
          <w:rt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הבנתי שחלק גדול מהלחץ נוצר ברגע שבו אני מפרש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sz w:val="24"/>
          <w:szCs w:val="24"/>
          <w:rt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 מה עלול להשתבש. פעם ראיתי בזה רצינות. היום אני רואה בזה גם דפוס שעולה לי ביוקר.</w:t>
      </w:r>
    </w:p>
    <w:p>
      <w:pPr>
        <w:bidi/>
        <w:spacing w:after="120" w:line="360"/>
        <w:jc w:val="both"/>
      </w:pPr>
      <w:r>
        <w:rPr>
          <w:rFonts w:ascii="David" w:cs="David" w:eastAsia="David" w:hAnsi="David"/>
          <w:sz w:val="24"/>
          <w:szCs w:val="24"/>
          <w:rt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sz w:val="24"/>
          <w:szCs w:val="24"/>
          <w:rt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sz w:val="24"/>
          <w:szCs w:val="24"/>
          <w:rt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צריך לנחש. כשאני מעביר משימות לאחרים, אני משתדל לזכור שאותה משימה תיקרא אחרת אצל כל אחד, ולשאול לפני שאני מניח.</w:t>
      </w:r>
    </w:p>
    <w:p>
      <w:pPr>
        <w:keepNext/>
        <w:bidi/>
        <w:spacing w:after="80" w:before="60" w:line="360"/>
        <w:jc w:val="right"/>
      </w:pPr>
      <w:r>
        <w:rPr>
          <w:rFonts w:ascii="David" w:cs="David" w:eastAsia="David" w:hAnsi="David"/>
          <w:b/>
          <w:bCs/>
          <w:sz w:val="24"/>
          <w:szCs w:val="24"/>
          <w:rtl/>
        </w:rPr>
        <w:t xml:space="preserve">נושא שני: התעמרות בעבודה ותרבות ארגונית</w:t>
      </w:r>
    </w:p>
    <w:p>
      <w:pPr>
        <w:bidi/>
        <w:spacing w:after="120" w:line="360"/>
        <w:jc w:val="both"/>
      </w:pPr>
      <w:r>
        <w:rPr>
          <w:rFonts w:ascii="David" w:cs="David" w:eastAsia="David" w:hAnsi="David"/>
          <w:sz w:val="24"/>
          <w:szCs w:val="24"/>
          <w:rt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על ההבדל בין ערכים מוצהרים להנחות יסוד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sz w:val="24"/>
          <w:szCs w:val="24"/>
          <w:rtl/>
        </w:rPr>
        <w:t xml:space="preserve">למדתי על עצמי דבר לא מחמיא: בחרתי בנוחות. לא הייתי הפוגע,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sz w:val="24"/>
          <w:szCs w:val="24"/>
          <w:rt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sz w:val="24"/>
          <w:szCs w:val="24"/>
          <w:rtl/>
        </w:rPr>
        <w:t xml:space="preserve">הקורס גם גרם לי לשאול איזו תרבות קיימת בארגון שבו אני עובד היום. לפי מודל הערכים המתחרים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sz w:val="24"/>
          <w:szCs w:val="24"/>
          <w:rt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 ממנו.</w:t>
      </w:r>
    </w:p>
    <w:p>
      <w:r>
        <w:br w:type="page"/>
      </w:r>
    </w:p>
    <w:p>
      <w:pPr>
        <w:keepNext/>
        <w:bidi/>
        <w:spacing w:after="80" w:before="200" w:line="360"/>
        <w:jc w:val="right"/>
      </w:pPr>
      <w:r>
        <w:rPr>
          <w:rFonts w:ascii="David" w:cs="David" w:eastAsia="David" w:hAnsi="David"/>
          <w:b/>
          <w:bCs/>
          <w:sz w:val="28"/>
          <w:szCs w:val="28"/>
          <w:rtl/>
        </w:rPr>
        <w:t xml:space="preserve">רפלקציה: [שם מלא של סטודנט/ית ב']</w:t>
      </w:r>
    </w:p>
    <w:p>
      <w:pPr>
        <w:keepNext/>
        <w:bidi/>
        <w:spacing w:after="80" w:before="60" w:line="360"/>
        <w:jc w:val="right"/>
      </w:pPr>
      <w:r>
        <w:rPr>
          <w:rFonts w:ascii="David" w:cs="David" w:eastAsia="David" w:hAnsi="David"/>
          <w:b/>
          <w:bCs/>
          <w:sz w:val="24"/>
          <w:szCs w:val="24"/>
          <w:rtl/>
        </w:rPr>
        <w:t xml:space="preserve">נושא ראשון: המוטיבציה של אדמס ומקללנד ודור ה-Y</w:t>
      </w:r>
    </w:p>
    <w:p>
      <w:pPr>
        <w:bidi/>
        <w:spacing w:after="120" w:line="360"/>
        <w:jc w:val="both"/>
      </w:pPr>
      <w:r>
        <w:rPr>
          <w:rFonts w:ascii="David" w:cs="David" w:eastAsia="David" w:hAnsi="David"/>
          <w:sz w:val="24"/>
          <w:szCs w:val="24"/>
          <w:rtl/>
        </w:rPr>
        <w:t xml:space="preserve">התחברתי לנושא כי אני בעצמי בן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 בקריירה, שבו אני עדיין צריך לדעת אם אני בכיוון הנכון.</w:t>
      </w:r>
    </w:p>
    <w:p>
      <w:pPr>
        <w:bidi/>
        <w:spacing w:after="120" w:line="360"/>
        <w:jc w:val="both"/>
      </w:pPr>
      <w:r>
        <w:rPr>
          <w:rFonts w:ascii="David" w:cs="David" w:eastAsia="David" w:hAnsi="David"/>
          <w:sz w:val="24"/>
          <w:szCs w:val="24"/>
          <w:rtl/>
        </w:rPr>
        <w:t xml:space="preserve">תיאוריית ההוגנות של אדמס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sz w:val="24"/>
          <w:szCs w:val="24"/>
          <w:rtl/>
        </w:rPr>
        <w:t xml:space="preserve">מה שמעניין הוא שבמחקר של פאן ועמיתיו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sz w:val="24"/>
          <w:szCs w:val="24"/>
          <w:rt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sz w:val="24"/>
          <w:szCs w:val="24"/>
          <w:rt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sz w:val="24"/>
          <w:szCs w:val="24"/>
          <w:rtl/>
        </w:rPr>
        <w:t xml:space="preserve">מה שאני לוקח ליישום הוא ההבחנה של מקללנד בין שלושת הצרכים. אני מנהל שני עובדים צעירים, ועד עכשיו ניסיתי להניע את שניהם באותה דרך. אחד מהם, כך אני מבין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גרם לי גם להפסיק להתבייש בצורך ההשתייכות שלי כמנהל. חשבתי שהוא חולשה, ומתברר שהוא יכול לאזן את הרצון להשפיע.</w:t>
      </w:r>
    </w:p>
    <w:p>
      <w:pPr>
        <w:bidi/>
        <w:spacing w:after="120" w:line="360"/>
        <w:jc w:val="both"/>
      </w:pPr>
      <w:r>
        <w:rPr>
          <w:rFonts w:ascii="David" w:cs="David" w:eastAsia="David" w:hAnsi="David"/>
          <w:sz w:val="24"/>
          <w:szCs w:val="24"/>
          <w:rtl/>
        </w:rPr>
        <w:t xml:space="preserve">גם העובדים שלי שייכים לדור שבא אחריי, ואני מוצא את עצמי אומר עליהם את אותם דברים שאמרו עליי. ברגעים כאלה אני מנסה לעצור ולשאול מה בדיוק ראיתי, ולא מה אני יודע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sz w:val="24"/>
          <w:szCs w:val="24"/>
          <w:rtl/>
        </w:rPr>
        <w:t xml:space="preserve">נושא שני: התנהגות אזרחית ואישיות מקיאווליסטית</w:t>
      </w:r>
    </w:p>
    <w:p>
      <w:pPr>
        <w:bidi/>
        <w:spacing w:after="120" w:line="360"/>
        <w:jc w:val="both"/>
      </w:pPr>
      <w:r>
        <w:rPr>
          <w:rFonts w:ascii="David" w:cs="David" w:eastAsia="David" w:hAnsi="David"/>
          <w:sz w:val="24"/>
          <w:szCs w:val="24"/>
          <w:rtl/>
        </w:rPr>
        <w:t xml:space="preserve">הנושא הזה הפתיע אותי. תמיד ראיתי בעובד שעוזר, נשאר מאוחר ומתנדב עובד טוב. הממצא של בקר ואו'הייר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שלפיו התנהגות אזרחית יכולה לנבוע מניהול רושם,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sz w:val="24"/>
          <w:szCs w:val="24"/>
          <w:rtl/>
        </w:rPr>
        <w:t xml:space="preserve">יחד עם זה, הנושא לימד אותי משהו גם על עצמי. חלק מהעזרה שאני נותן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sz w:val="24"/>
          <w:szCs w:val="24"/>
          <w:rtl/>
        </w:rPr>
        <w:t xml:space="preserve">המחקר של אופלטקה (2007) על מורים הוסיף לי זווית חשובה. התנהגות אזרחית אינה רק תכונה של העובד, אלא תלויה גם בארגון ובמנהל. כשאני חושב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אם אני רוצה יותר תרומה מעבר לנדרש, אני צריך להתחיל ממה שאני נותן.</w:t>
      </w:r>
    </w:p>
    <w:p>
      <w:pPr>
        <w:bidi/>
        <w:spacing w:after="120" w:line="360"/>
        <w:jc w:val="both"/>
      </w:pPr>
      <w:r>
        <w:rPr>
          <w:rFonts w:ascii="David" w:cs="David" w:eastAsia="David" w:hAnsi="David"/>
          <w:sz w:val="24"/>
          <w:szCs w:val="24"/>
          <w:rt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מתכוון לשים לב לאופן שבו אני עצמי מתגמל עזרה: אם אני מחמיא רק על מה שנעשה מולי, אני מלמד את הצוות לעזור רק מולי.</w:t>
      </w:r>
    </w:p>
    <w:p>
      <w:pPr>
        <w:bidi/>
        <w:spacing w:after="120" w:line="360"/>
        <w:jc w:val="both"/>
      </w:pPr>
      <w:r>
        <w:rPr>
          <w:rFonts w:ascii="David" w:cs="David" w:eastAsia="David" w:hAnsi="David"/>
          <w:sz w:val="24"/>
          <w:szCs w:val="24"/>
          <w:rtl/>
        </w:rPr>
        <w:t xml:space="preserve">הדבר הקשה יותר הוא לזהות מקיאווליזם בלי להפוך לחשדן. לא כל מי שעוזר מול המנהל עושה זאת מחישוב, ולא ארצה צוות שבו כל מחווה נבדקת. לכן אני מעדיף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r>
        <w:br w:type="page"/>
      </w:r>
    </w:p>
    <w:p>
      <w:pPr>
        <w:keepNext/>
        <w:bidi/>
        <w:spacing w:after="80" w:before="200" w:line="360"/>
        <w:jc w:val="center"/>
      </w:pPr>
      <w:r>
        <w:rPr>
          <w:rFonts w:ascii="David" w:cs="David" w:eastAsia="David" w:hAnsi="David"/>
          <w:b/>
          <w:bCs/>
          <w:sz w:val="32"/>
          <w:szCs w:val="32"/>
          <w:rtl/>
        </w:rPr>
        <w:t xml:space="preserve">רשימת מקורות</w:t>
      </w:r>
    </w:p>
    <w:p>
      <w:pPr>
        <w:bidi/>
        <w:spacing w:after="120" w:line="360"/>
        <w:ind w:left="0" w:right="709" w:hanging="709"/>
        <w:jc w:val="right"/>
      </w:pPr>
      <w:r>
        <w:rPr>
          <w:rFonts w:ascii="David" w:cs="David" w:eastAsia="David" w:hAnsi="David"/>
          <w:i w:val="false"/>
          <w:sz w:val="24"/>
          <w:szCs w:val="24"/>
          <w:rtl/>
        </w:rPr>
        <w:t xml:space="preserve">אופלטקה, י' (2007). התנהגות אזרחית-ארגונית בקרב מורים בישראל: התופעה, רכיביה ומקורותיה. </w:t>
      </w:r>
      <w:r>
        <w:rPr>
          <w:rFonts w:ascii="David" w:cs="David" w:eastAsia="David" w:hAnsi="David"/>
          <w:i/>
          <w:iCs/>
          <w:sz w:val="24"/>
          <w:szCs w:val="24"/>
          <w:rtl/>
        </w:rPr>
        <w:t xml:space="preserve">דפים, 44</w:t>
      </w:r>
      <w:r>
        <w:rPr>
          <w:rFonts w:ascii="David" w:cs="David" w:eastAsia="David" w:hAnsi="David"/>
          <w:i w:val="false"/>
          <w:sz w:val="24"/>
          <w:szCs w:val="24"/>
          <w:rtl/>
        </w:rPr>
        <w:t xml:space="preserve">, 35-64.</w:t>
      </w:r>
    </w:p>
    <w:p>
      <w:pPr>
        <w:bidi/>
        <w:spacing w:after="120" w:line="360"/>
        <w:ind w:left="0" w:right="709" w:hanging="709"/>
        <w:jc w:val="right"/>
      </w:pPr>
      <w:r>
        <w:rPr>
          <w:rFonts w:ascii="David" w:cs="David" w:eastAsia="David" w:hAnsi="David"/>
          <w:i w:val="false"/>
          <w:sz w:val="24"/>
          <w:szCs w:val="24"/>
          <w:rtl/>
        </w:rPr>
        <w:t xml:space="preserve">קמיר, א' (2018). התעמרות בעבודה: בין פסיכולוגיה למשפט, בין חקיקה לפסיקה. </w:t>
      </w:r>
      <w:r>
        <w:rPr>
          <w:rFonts w:ascii="David" w:cs="David" w:eastAsia="David" w:hAnsi="David"/>
          <w:i/>
          <w:iCs/>
          <w:sz w:val="24"/>
          <w:szCs w:val="24"/>
          <w:rtl/>
        </w:rPr>
        <w:t xml:space="preserve">משפט ועסקים, כא</w:t>
      </w:r>
      <w:r>
        <w:rPr>
          <w:rFonts w:ascii="David" w:cs="David" w:eastAsia="David" w:hAnsi="David"/>
          <w:i w:val="false"/>
          <w:sz w:val="24"/>
          <w:szCs w:val="24"/>
          <w:rtl/>
        </w:rPr>
        <w:t xml:space="preserve">, 307-364.</w:t>
      </w:r>
    </w:p>
    <w:p>
      <w:pPr>
        <w:bidi w:val="false"/>
        <w:spacing w:after="120" w:line="360"/>
        <w:ind w:left="709" w:right="0" w:hanging="709"/>
        <w:jc w:val="left"/>
      </w:pPr>
      <w:r>
        <w:rPr>
          <w:rFonts w:ascii="David" w:cs="David" w:eastAsia="David" w:hAnsi="David"/>
          <w:i w:val="false"/>
          <w:sz w:val="24"/>
          <w:szCs w:val="24"/>
          <w:rtl w:val="false"/>
        </w:rPr>
        <w:t xml:space="preserve">Becker, J. A. H., &amp; O'Hair, H. D. (2007). Machiavellians' motives in organizational citizenship behavior. </w:t>
      </w:r>
      <w:r>
        <w:rPr>
          <w:rFonts w:ascii="David" w:cs="David" w:eastAsia="David" w:hAnsi="David"/>
          <w:i/>
          <w:iCs/>
          <w:sz w:val="24"/>
          <w:szCs w:val="24"/>
          <w:rtl w:val="false"/>
        </w:rPr>
        <w:t xml:space="preserve">Journal of Applied Communication Research, 35</w:t>
      </w:r>
      <w:r>
        <w:rPr>
          <w:rFonts w:ascii="David" w:cs="David" w:eastAsia="David" w:hAnsi="David"/>
          <w:i w:val="false"/>
          <w:sz w:val="24"/>
          <w:szCs w:val="24"/>
          <w:rtl w:val="false"/>
        </w:rPr>
        <w:t xml:space="preserve">(3), 246-267. https://doi.org/10.1080/00909880701434232</w:t>
      </w:r>
    </w:p>
    <w:p>
      <w:pPr>
        <w:bidi w:val="false"/>
        <w:spacing w:after="120" w:line="360"/>
        <w:ind w:left="709" w:right="0" w:hanging="709"/>
        <w:jc w:val="left"/>
      </w:pPr>
      <w:r>
        <w:rPr>
          <w:rFonts w:ascii="David" w:cs="David" w:eastAsia="David" w:hAnsi="David"/>
          <w:i w:val="false"/>
          <w:sz w:val="24"/>
          <w:szCs w:val="24"/>
          <w:rtl w:val="false"/>
        </w:rPr>
        <w:t xml:space="preserve">Cai, H., Wang, L., &amp; Jin, X. (2024). Leader's Machiavellianism and employees' counterproductive work behavior: Testing a moderated mediation model. </w:t>
      </w:r>
      <w:r>
        <w:rPr>
          <w:rFonts w:ascii="David" w:cs="David" w:eastAsia="David" w:hAnsi="David"/>
          <w:i/>
          <w:iCs/>
          <w:sz w:val="24"/>
          <w:szCs w:val="24"/>
          <w:rtl w:val="false"/>
        </w:rPr>
        <w:t xml:space="preserve">Frontiers in Psychology, 14</w:t>
      </w:r>
      <w:r>
        <w:rPr>
          <w:rFonts w:ascii="David" w:cs="David" w:eastAsia="David" w:hAnsi="David"/>
          <w:i w:val="false"/>
          <w:sz w:val="24"/>
          <w:szCs w:val="24"/>
          <w:rtl w:val="false"/>
        </w:rPr>
        <w:t xml:space="preserve">, Article 1283509. https://doi.org/10.3389/fpsyg.2023.1283509</w:t>
      </w:r>
    </w:p>
    <w:p>
      <w:pPr>
        <w:bidi w:val="false"/>
        <w:spacing w:after="120" w:line="360"/>
        <w:ind w:left="709" w:right="0" w:hanging="709"/>
        <w:jc w:val="left"/>
      </w:pPr>
      <w:r>
        <w:rPr>
          <w:rFonts w:ascii="David" w:cs="David" w:eastAsia="David" w:hAnsi="David"/>
          <w:i w:val="false"/>
          <w:sz w:val="24"/>
          <w:szCs w:val="24"/>
          <w:rtl w:val="false"/>
        </w:rPr>
        <w:t xml:space="preserve">Chen, L., Qu, L., &amp; Hong, R. Y. (2022). Pathways linking the Big Five to psychological distress: Exploring the mediating roles of stress mindset and coping flexibility. </w:t>
      </w:r>
      <w:r>
        <w:rPr>
          <w:rFonts w:ascii="David" w:cs="David" w:eastAsia="David" w:hAnsi="David"/>
          <w:i/>
          <w:iCs/>
          <w:sz w:val="24"/>
          <w:szCs w:val="24"/>
          <w:rtl w:val="false"/>
        </w:rPr>
        <w:t xml:space="preserve">Journal of Clinical Medicine, 11</w:t>
      </w:r>
      <w:r>
        <w:rPr>
          <w:rFonts w:ascii="David" w:cs="David" w:eastAsia="David" w:hAnsi="David"/>
          <w:i w:val="false"/>
          <w:sz w:val="24"/>
          <w:szCs w:val="24"/>
          <w:rtl w:val="false"/>
        </w:rPr>
        <w:t xml:space="preserve">(9), Article 2272. https://doi.org/10.3390/jcm11092272</w:t>
      </w:r>
    </w:p>
    <w:p>
      <w:pPr>
        <w:bidi w:val="false"/>
        <w:spacing w:after="120" w:line="360"/>
        <w:ind w:left="709" w:right="0" w:hanging="709"/>
        <w:jc w:val="left"/>
      </w:pPr>
      <w:r>
        <w:rPr>
          <w:rFonts w:ascii="David" w:cs="David" w:eastAsia="David" w:hAnsi="David"/>
          <w:i w:val="false"/>
          <w:sz w:val="24"/>
          <w:szCs w:val="24"/>
          <w:rtl w:val="false"/>
        </w:rPr>
        <w:t xml:space="preserve">Feijó, F. R., Gräf, D. D., Pearce, N., &amp; Fassa, A. G. (2019). Risk factors for workplace bullying: A systematic review. </w:t>
      </w:r>
      <w:r>
        <w:rPr>
          <w:rFonts w:ascii="David" w:cs="David" w:eastAsia="David" w:hAnsi="David"/>
          <w:i/>
          <w:iCs/>
          <w:sz w:val="24"/>
          <w:szCs w:val="24"/>
          <w:rtl w:val="false"/>
        </w:rPr>
        <w:t xml:space="preserve">International Journal of Environmental Research and Public Health, 16</w:t>
      </w:r>
      <w:r>
        <w:rPr>
          <w:rFonts w:ascii="David" w:cs="David" w:eastAsia="David" w:hAnsi="David"/>
          <w:i w:val="false"/>
          <w:sz w:val="24"/>
          <w:szCs w:val="24"/>
          <w:rtl w:val="false"/>
        </w:rPr>
        <w:t xml:space="preserve">(11), Article 1945. https://doi.org/10.3390/ijerph16111945</w:t>
      </w:r>
    </w:p>
    <w:p>
      <w:pPr>
        <w:bidi w:val="false"/>
        <w:spacing w:after="120" w:line="360"/>
        <w:ind w:left="709" w:right="0" w:hanging="709"/>
        <w:jc w:val="left"/>
      </w:pPr>
      <w:r>
        <w:rPr>
          <w:rFonts w:ascii="David" w:cs="David" w:eastAsia="David" w:hAnsi="David"/>
          <w:i w:val="false"/>
          <w:sz w:val="24"/>
          <w:szCs w:val="24"/>
          <w:rtl w:val="false"/>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sz w:val="24"/>
          <w:szCs w:val="24"/>
          <w:rtl w:val="false"/>
        </w:rPr>
        <w:t xml:space="preserve">Implementation Science, 2</w:t>
      </w:r>
      <w:r>
        <w:rPr>
          <w:rFonts w:ascii="David" w:cs="David" w:eastAsia="David" w:hAnsi="David"/>
          <w:i w:val="false"/>
          <w:sz w:val="24"/>
          <w:szCs w:val="24"/>
          <w:rtl w:val="false"/>
        </w:rPr>
        <w:t xml:space="preserve">, Article 13. https://doi.org/10.1186/1748-5908-2-13</w:t>
      </w:r>
    </w:p>
    <w:p>
      <w:pPr>
        <w:bidi w:val="false"/>
        <w:spacing w:after="120" w:line="360"/>
        <w:ind w:left="709" w:right="0" w:hanging="709"/>
        <w:jc w:val="left"/>
      </w:pPr>
      <w:r>
        <w:rPr>
          <w:rFonts w:ascii="David" w:cs="David" w:eastAsia="David" w:hAnsi="David"/>
          <w:i w:val="false"/>
          <w:sz w:val="24"/>
          <w:szCs w:val="24"/>
          <w:rtl w:val="false"/>
        </w:rPr>
        <w:t xml:space="preserve">Pan, X., Chen, M., Hao, Z., &amp; Bi, W. (2018). The effects of organizational justice on positive organizational behavior: Evidence from a large-sample survey and a situational experiment. </w:t>
      </w:r>
      <w:r>
        <w:rPr>
          <w:rFonts w:ascii="David" w:cs="David" w:eastAsia="David" w:hAnsi="David"/>
          <w:i/>
          <w:iCs/>
          <w:sz w:val="24"/>
          <w:szCs w:val="24"/>
          <w:rtl w:val="false"/>
        </w:rPr>
        <w:t xml:space="preserve">Frontiers in Psychology, 8</w:t>
      </w:r>
      <w:r>
        <w:rPr>
          <w:rFonts w:ascii="David" w:cs="David" w:eastAsia="David" w:hAnsi="David"/>
          <w:i w:val="false"/>
          <w:sz w:val="24"/>
          <w:szCs w:val="24"/>
          <w:rtl w:val="false"/>
        </w:rPr>
        <w:t xml:space="preserve">, Article 2315. https://doi.org/10.3389/fpsyg.2017.02315</w:t>
      </w:r>
    </w:p>
    <w:p>
      <w:pPr>
        <w:bidi w:val="false"/>
        <w:spacing w:after="120" w:line="360"/>
        <w:ind w:left="709" w:right="0" w:hanging="709"/>
        <w:jc w:val="left"/>
      </w:pPr>
      <w:r>
        <w:rPr>
          <w:rFonts w:ascii="David" w:cs="David" w:eastAsia="David" w:hAnsi="David"/>
          <w:i w:val="false"/>
          <w:sz w:val="24"/>
          <w:szCs w:val="24"/>
          <w:rtl w:val="false"/>
        </w:rPr>
        <w:t xml:space="preserve">Schein, E. H. (1990). Organizational culture. </w:t>
      </w:r>
      <w:r>
        <w:rPr>
          <w:rFonts w:ascii="David" w:cs="David" w:eastAsia="David" w:hAnsi="David"/>
          <w:i/>
          <w:iCs/>
          <w:sz w:val="24"/>
          <w:szCs w:val="24"/>
          <w:rtl w:val="false"/>
        </w:rPr>
        <w:t xml:space="preserve">American Psychologist, 45</w:t>
      </w:r>
      <w:r>
        <w:rPr>
          <w:rFonts w:ascii="David" w:cs="David" w:eastAsia="David" w:hAnsi="David"/>
          <w:i w:val="false"/>
          <w:sz w:val="24"/>
          <w:szCs w:val="24"/>
          <w:rtl w:val="false"/>
        </w:rPr>
        <w:t xml:space="preserve">(2), 109-119. https://doi.org/10.1037/0003-066X.45.2.109</w:t>
      </w:r>
    </w:p>
    <w:p>
      <w:pPr>
        <w:bidi w:val="false"/>
        <w:spacing w:after="120" w:line="360"/>
        <w:ind w:left="709" w:right="0" w:hanging="709"/>
        <w:jc w:val="left"/>
      </w:pPr>
      <w:r>
        <w:rPr>
          <w:rFonts w:ascii="David" w:cs="David" w:eastAsia="David" w:hAnsi="David"/>
          <w:i w:val="false"/>
          <w:sz w:val="24"/>
          <w:szCs w:val="24"/>
          <w:rtl w:val="false"/>
        </w:rPr>
        <w:t xml:space="preserve">Schröder, M. (2024). Work motivation is not generational but depends on age and period. </w:t>
      </w:r>
      <w:r>
        <w:rPr>
          <w:rFonts w:ascii="David" w:cs="David" w:eastAsia="David" w:hAnsi="David"/>
          <w:i/>
          <w:iCs/>
          <w:sz w:val="24"/>
          <w:szCs w:val="24"/>
          <w:rtl w:val="false"/>
        </w:rPr>
        <w:t xml:space="preserve">Journal of Business and Psychology, 39</w:t>
      </w:r>
      <w:r>
        <w:rPr>
          <w:rFonts w:ascii="David" w:cs="David" w:eastAsia="David" w:hAnsi="David"/>
          <w:i w:val="false"/>
          <w:sz w:val="24"/>
          <w:szCs w:val="24"/>
          <w:rtl w:val="false"/>
        </w:rPr>
        <w:t xml:space="preserve">(4), 897-908. https://doi.org/10.1007/s10869-023-09921-8</w:t>
      </w:r>
    </w:p>
    <w:p>
      <w:pPr>
        <w:bidi w:val="false"/>
        <w:spacing w:after="120" w:line="360"/>
        <w:ind w:left="709" w:right="0" w:hanging="709"/>
        <w:jc w:val="left"/>
      </w:pPr>
      <w:r>
        <w:rPr>
          <w:rFonts w:ascii="David" w:cs="David" w:eastAsia="David" w:hAnsi="David"/>
          <w:i w:val="false"/>
          <w:sz w:val="24"/>
          <w:szCs w:val="24"/>
          <w:rtl w:val="false"/>
        </w:rPr>
        <w:t xml:space="preserve">Steinmann, B., Ötting, S. K., &amp; Maier, G. W. (2016). Need for affiliation as a motivational add-on for leadership behaviors and managerial success. </w:t>
      </w:r>
      <w:r>
        <w:rPr>
          <w:rFonts w:ascii="David" w:cs="David" w:eastAsia="David" w:hAnsi="David"/>
          <w:i/>
          <w:iCs/>
          <w:sz w:val="24"/>
          <w:szCs w:val="24"/>
          <w:rtl w:val="false"/>
        </w:rPr>
        <w:t xml:space="preserve">Frontiers in Psychology, 7</w:t>
      </w:r>
      <w:r>
        <w:rPr>
          <w:rFonts w:ascii="David" w:cs="David" w:eastAsia="David" w:hAnsi="David"/>
          <w:i w:val="false"/>
          <w:sz w:val="24"/>
          <w:szCs w:val="24"/>
          <w:rtl w:val="false"/>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2026-09-28T08:46:08.429Z</dcterms:created>
  <dcterms:modified xsi:type="dcterms:W3CDTF">2026-09-28T08:46:08.429Z</dcterms:modified>
</cp:coreProperties>
</file>

<file path=docProps/custom.xml><?xml version="1.0" encoding="utf-8"?>
<Properties xmlns="http://schemas.openxmlformats.org/officeDocument/2006/custom-properties" xmlns:vt="http://schemas.openxmlformats.org/officeDocument/2006/docPropsVTypes"/>
</file>