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center"/>
      </w:pPr>
      <w:r>
        <w:rPr>
          <w:rFonts w:ascii="David" w:hAnsi="David" w:cs="David"/>
          <w:b w:val="0"/>
          <w:i w:val="0"/>
          <w:sz w:val="24"/>
          <w:szCs w:val="24"/>
          <w:rtl w:val="1"/>
        </w:rPr>
      </w:r>
    </w:p>
    <w:p>
      <w:pPr>
        <w:bidi w:val="1"/>
        <w:spacing w:line="360" w:lineRule="auto" w:after="0"/>
        <w:jc w:val="center"/>
      </w:pPr>
      <w:r>
        <w:rPr>
          <w:rFonts w:ascii="David" w:hAnsi="David" w:cs="David"/>
          <w:b w:val="0"/>
          <w:i w:val="0"/>
          <w:sz w:val="24"/>
          <w:szCs w:val="24"/>
          <w:rtl w:val="1"/>
        </w:rPr>
      </w:r>
    </w:p>
    <w:p>
      <w:pPr>
        <w:bidi w:val="1"/>
        <w:spacing w:line="360" w:lineRule="auto" w:after="0"/>
        <w:jc w:val="center"/>
      </w:pPr>
      <w:r>
        <w:rPr>
          <w:rFonts w:ascii="David" w:hAnsi="David" w:cs="David"/>
          <w:b w:val="0"/>
          <w:i w:val="0"/>
          <w:sz w:val="24"/>
          <w:szCs w:val="24"/>
          <w:rtl w:val="1"/>
        </w:rPr>
      </w:r>
    </w:p>
    <w:p>
      <w:pPr>
        <w:bidi w:val="1"/>
        <w:spacing w:line="360" w:lineRule="auto" w:after="120"/>
        <w:jc w:val="center"/>
      </w:pPr>
      <w:r>
        <w:rPr>
          <w:rFonts w:ascii="David" w:hAnsi="David" w:cs="David"/>
          <w:b/>
          <w:i w:val="0"/>
          <w:sz w:val="28"/>
          <w:szCs w:val="28"/>
          <w:rtl w:val="1"/>
        </w:rPr>
        <w:t>החוג לחינוך וחברה</w:t>
      </w:r>
    </w:p>
    <w:p>
      <w:pPr>
        <w:bidi w:val="1"/>
        <w:spacing w:line="360" w:lineRule="auto" w:after="120"/>
        <w:jc w:val="center"/>
      </w:pPr>
      <w:r>
        <w:rPr>
          <w:rFonts w:ascii="David" w:hAnsi="David" w:cs="David"/>
          <w:b/>
          <w:i w:val="0"/>
          <w:sz w:val="36"/>
          <w:szCs w:val="36"/>
          <w:rtl w:val="1"/>
        </w:rPr>
        <w:t>מוגבלות וסיכון: לקויות למידה ואוטיזם</w:t>
      </w:r>
    </w:p>
    <w:p>
      <w:pPr>
        <w:bidi w:val="1"/>
        <w:spacing w:line="360" w:lineRule="auto" w:after="480"/>
        <w:jc w:val="center"/>
      </w:pPr>
      <w:r>
        <w:rPr>
          <w:rFonts w:ascii="David" w:hAnsi="David" w:cs="David"/>
          <w:b w:val="0"/>
          <w:i w:val="0"/>
          <w:sz w:val="26"/>
          <w:szCs w:val="26"/>
          <w:rtl w:val="1"/>
        </w:rPr>
        <w:t>מרצה: קרן דרור</w:t>
      </w:r>
    </w:p>
    <w:p>
      <w:pPr>
        <w:bidi w:val="1"/>
        <w:spacing w:line="360" w:lineRule="auto" w:after="160"/>
        <w:jc w:val="center"/>
      </w:pPr>
      <w:r>
        <w:rPr>
          <w:rFonts w:ascii="David" w:hAnsi="David" w:cs="David"/>
          <w:b/>
          <w:i w:val="0"/>
          <w:sz w:val="32"/>
          <w:szCs w:val="32"/>
          <w:rtl w:val="1"/>
        </w:rPr>
        <w:t>מטלת סיכום: רפלקציה אישית</w:t>
      </w:r>
    </w:p>
    <w:p>
      <w:pPr>
        <w:bidi w:val="1"/>
        <w:spacing w:line="360" w:lineRule="auto" w:after="960"/>
        <w:jc w:val="center"/>
      </w:pPr>
      <w:r>
        <w:rPr>
          <w:rFonts w:ascii="David" w:hAnsi="David" w:cs="David"/>
          <w:b w:val="0"/>
          <w:i w:val="0"/>
          <w:sz w:val="24"/>
          <w:szCs w:val="24"/>
          <w:rtl w:val="1"/>
        </w:rPr>
        <w:t>(הגשה אישית)</w:t>
      </w:r>
    </w:p>
    <w:p>
      <w:pPr>
        <w:bidi w:val="1"/>
        <w:spacing w:line="360" w:lineRule="auto" w:after="120"/>
        <w:jc w:val="center"/>
      </w:pPr>
      <w:r>
        <w:rPr>
          <w:rFonts w:ascii="David" w:hAnsi="David" w:cs="David"/>
          <w:b w:val="0"/>
          <w:i w:val="0"/>
          <w:sz w:val="26"/>
          <w:szCs w:val="26"/>
          <w:rtl w:val="1"/>
        </w:rPr>
        <w:t>מגיש/ה: ___________________</w:t>
      </w:r>
    </w:p>
    <w:p>
      <w:pPr>
        <w:bidi w:val="1"/>
        <w:spacing w:line="360" w:lineRule="auto" w:after="120"/>
        <w:jc w:val="center"/>
      </w:pPr>
      <w:r>
        <w:rPr>
          <w:rFonts w:ascii="David" w:hAnsi="David" w:cs="David"/>
          <w:b w:val="0"/>
          <w:i w:val="0"/>
          <w:sz w:val="26"/>
          <w:szCs w:val="26"/>
          <w:rtl w:val="1"/>
        </w:rPr>
        <w:t>ת.ז: ___________________</w:t>
      </w:r>
    </w:p>
    <w:p>
      <w:pPr>
        <w:bidi w:val="1"/>
        <w:spacing w:line="360" w:lineRule="auto" w:after="120"/>
        <w:jc w:val="center"/>
      </w:pPr>
      <w:r>
        <w:rPr>
          <w:rFonts w:ascii="David" w:hAnsi="David" w:cs="David"/>
          <w:b w:val="0"/>
          <w:i w:val="0"/>
          <w:sz w:val="26"/>
          <w:szCs w:val="26"/>
          <w:rtl w:val="1"/>
        </w:rPr>
        <w:t>תאריך: יולי 2026</w:t>
      </w:r>
    </w:p>
    <w:p>
      <w:r>
        <w:br w:type="page"/>
      </w:r>
    </w:p>
    <w:p>
      <w:pPr>
        <w:bidi w:val="1"/>
        <w:spacing w:line="360" w:lineRule="auto" w:after="200"/>
        <w:jc w:val="right"/>
      </w:pPr>
      <w:r>
        <w:rPr>
          <w:rFonts w:ascii="David" w:hAnsi="David" w:cs="David"/>
          <w:b/>
          <w:i w:val="0"/>
          <w:sz w:val="28"/>
          <w:szCs w:val="28"/>
          <w:rtl w:val="1"/>
        </w:rPr>
        <w:t>חלק א: רפלקציה אישית</w:t>
      </w:r>
    </w:p>
    <w:p>
      <w:pPr>
        <w:bidi w:val="1"/>
        <w:spacing w:line="360" w:lineRule="auto" w:after="160"/>
        <w:jc w:val="both"/>
      </w:pPr>
      <w:r>
        <w:rPr>
          <w:rFonts w:ascii="David" w:hAnsi="David" w:cs="David"/>
          <w:b w:val="0"/>
          <w:i w:val="0"/>
          <w:sz w:val="24"/>
          <w:szCs w:val="24"/>
          <w:rtl w:val="1"/>
        </w:rPr>
        <w:t>נכנסתי לקורס הזה עם הנחה די פשוטה, שסיכון הוא משהו שנמצא באדם. חשבתי על ילד עם לקות למידה או על תלמיד על הרצף כמי שנמצא בסכנה בגלל הקושי שלו, וממילא ראיתי את תפקידי כמי שאמור להגן עליו מפני העולם. לאורך המפגשים ההנחה הזאת התחילה להתפרק. הבנתי שהסיכון כמעט אף פעם לא נולד בתוך האדם עצמו, אלא נוצר במפגש בינו לבין הסביבה, בין הצרכים שלו לבין מה שהמסגרת מוכנה או לא מוכנה לתת. השינוי הזה בזווית הראייה הוא הדבר המרכזי שאני לוקח.ת איתי מהקורס.</w:t>
      </w:r>
    </w:p>
    <w:p>
      <w:pPr>
        <w:bidi w:val="1"/>
        <w:spacing w:line="360" w:lineRule="auto" w:after="160"/>
        <w:jc w:val="both"/>
      </w:pPr>
      <w:r>
        <w:rPr>
          <w:rFonts w:ascii="David" w:hAnsi="David" w:cs="David"/>
          <w:b w:val="0"/>
          <w:i w:val="0"/>
          <w:sz w:val="24"/>
          <w:szCs w:val="24"/>
          <w:rtl w:val="1"/>
        </w:rPr>
        <w:t>מה שעזר לי לחדד את זה היה המבט הרב-שכבתי שהקורס הציע, ההסתכלות על אותו מצב דרך ארבע רמות בו-זמנית, רמת האדם, המשפחה, המערכת והחברה. עד הקורס נטיתי לעצור ברמת האדם, מה קרה לילד, מה הקושי שלו, מה אפשר לתקן בו. הרגלתי את עצמי לשאול גם מה קורה סביבו, איך המשפחה חווה את המצב, מה בית הספר מאפשר ומה הוא חוסם, ואילו עמדות חברתיות עומדות ברקע ומחלחלות פנימה בלי שנשים לב. כשמפרקים ככה מקרה, פתאום רואים שהאחריות מתחלקת, והיא כבר לא נחה רק על הכתפיים של מי שהוגדר כבעל הקושי.</w:t>
      </w:r>
    </w:p>
    <w:p>
      <w:pPr>
        <w:bidi w:val="1"/>
        <w:spacing w:line="360" w:lineRule="auto" w:after="160"/>
        <w:jc w:val="both"/>
      </w:pPr>
      <w:r>
        <w:rPr>
          <w:rFonts w:ascii="David" w:hAnsi="David" w:cs="David"/>
          <w:b w:val="0"/>
          <w:i w:val="0"/>
          <w:sz w:val="24"/>
          <w:szCs w:val="24"/>
          <w:rtl w:val="1"/>
        </w:rPr>
        <w:t>המפגש שנגע בי במיוחד היה זה שעסק במוגבלות ובעבריינות. הגעתי אליו עם דעה קדומה שכלל לא ידעתי שקיימת בי, איזו תבנית שמסדרת אנשים עם מוגבלות לשתי משבצות, או קורבן חסר אונים או מישהו מסוכן שצריך לפקח עליו. הדיון הראה לי כמה שתי המשבצות האלה שגויות ועד כמה הן פוגעות, כי שתיהן מוחקות את האדם עצמו ואת הנסיבות שהובילו אותו לאן שהגיע. יצאתי משם עם שאלה שנשארה איתי, כמה פעמים אני עצמי ממהר.ת לשבץ תלמיד באחת המשבצות במקום לעצור ולשאול מה באמת קרה כאן.</w:t>
      </w:r>
    </w:p>
    <w:p>
      <w:pPr>
        <w:bidi w:val="1"/>
        <w:spacing w:line="360" w:lineRule="auto" w:after="160"/>
        <w:jc w:val="both"/>
      </w:pPr>
      <w:r>
        <w:rPr>
          <w:rFonts w:ascii="David" w:hAnsi="David" w:cs="David"/>
          <w:b w:val="0"/>
          <w:i w:val="0"/>
          <w:sz w:val="24"/>
          <w:szCs w:val="24"/>
          <w:rtl w:val="1"/>
        </w:rPr>
        <w:t>גם השיעור שעסק בייצוג של מוגבלות בתקשורת ובסדרות עבד עליי אחרת ממה שציפיתי. חשבתי שמדובר בנושא צדדי, כמעט בידור, וגיליתי שהתמונות שאנחנו סופגים מהמסך מעצבות בשקט את הדרך שבה אנחנו מסתכלים על אנשים אמיתיים. כשראיתי כמה קל להחליק לייצוג שמעורר רחמים או פחד, הבנתי שגם אני נושא.ת בתוכי דימויים כאלה, ושהעבודה הראשונה היא להכיר בהם.</w:t>
      </w:r>
    </w:p>
    <w:p>
      <w:pPr>
        <w:bidi w:val="1"/>
        <w:spacing w:line="360" w:lineRule="auto" w:after="160"/>
        <w:jc w:val="both"/>
      </w:pPr>
      <w:r>
        <w:rPr>
          <w:rFonts w:ascii="David" w:hAnsi="David" w:cs="David"/>
          <w:b w:val="0"/>
          <w:i w:val="0"/>
          <w:sz w:val="24"/>
          <w:szCs w:val="24"/>
          <w:rtl w:val="1"/>
        </w:rPr>
        <w:t>המקום שבו הקורס פגש אותי הכי לעומק הוא המתח שבין מוגנות לבין אוטונומיה. אני בא.ה מעולם שמאמין שתפקידי לשמור, ופתאום נאלצתי להתמודד עם המחיר של השמירה הזאת, עם זה שכל פעם שאני מחליט.ה במקום מישהו כי ככה בטוח יותר, אני גם לוקח.ת ממנו חתיכה מהיכולת לנהל את חייו. הקורס לא נתן לי נוסחה שפותרת את המתח, והבנתי שאין כזאת. מה שהוא כן נתן לי זו היכולת להחזיק את שני הצדדים ביחד ולקבל החלטות מתוך מודעות למחיר, במקום להיתלות בביטחון של אחד מהם. אני מסיים.ת את הקורס עם פחות תשובות מוחלטות ועם הרבה יותר שאלות שאני שמח.ה לשאת איתי אל תוך העבודה.</w:t>
      </w:r>
    </w:p>
    <w:p>
      <w:r>
        <w:br w:type="page"/>
      </w:r>
    </w:p>
    <w:p>
      <w:pPr>
        <w:bidi w:val="1"/>
        <w:spacing w:line="360" w:lineRule="auto" w:after="200"/>
        <w:jc w:val="right"/>
      </w:pPr>
      <w:r>
        <w:rPr>
          <w:rFonts w:ascii="David" w:hAnsi="David" w:cs="David"/>
          <w:b/>
          <w:i w:val="0"/>
          <w:sz w:val="28"/>
          <w:szCs w:val="28"/>
          <w:rtl w:val="1"/>
        </w:rPr>
        <w:t>חלק ב: העמקה בנושא מרכזי מהקורס</w:t>
      </w:r>
    </w:p>
    <w:p>
      <w:pPr>
        <w:bidi w:val="1"/>
        <w:spacing w:line="360" w:lineRule="auto" w:after="200"/>
        <w:jc w:val="right"/>
      </w:pPr>
      <w:r>
        <w:rPr>
          <w:rFonts w:ascii="David" w:hAnsi="David" w:cs="David"/>
          <w:b/>
          <w:i w:val="0"/>
          <w:sz w:val="26"/>
          <w:szCs w:val="26"/>
          <w:rtl w:val="1"/>
        </w:rPr>
        <w:t>המתח בין מוגנות לבין אוטונומיה בחיי אנשים עם מוגבלות</w:t>
      </w:r>
    </w:p>
    <w:p>
      <w:pPr>
        <w:bidi w:val="1"/>
        <w:spacing w:line="360" w:lineRule="auto" w:after="160"/>
        <w:jc w:val="both"/>
      </w:pPr>
      <w:r>
        <w:rPr>
          <w:rFonts w:ascii="David" w:hAnsi="David" w:cs="David"/>
          <w:b w:val="0"/>
          <w:i w:val="0"/>
          <w:sz w:val="24"/>
          <w:szCs w:val="24"/>
          <w:rtl w:val="1"/>
        </w:rPr>
        <w:t>הנושא שבחרתי להעמיק בו הוא המתח בין ההגנה על אדם עם מוגבלות לבין הזכות שלו לנהל את חייו בעצמו. זהו אחד הצירים המרכזיים שחזרו לאורך הקורס, והוא נוגע ישירות בעבודה החינוכית היומיומית. מצד המוגנות עומדת החובה למנוע פגיעה, ניצול והזנחה, שאנשים עם לקויות למידה ועם אוטיזם חשופים להם יותר. מן העבר השני עומדת האוטונומיה, ההכרה בכך שגם אדם שזקוק לתמיכה הוא בעל רצון, העדפות וזכות לטעות. הספרות העדכנית מתארת את שני הקטבים האלה לא כניגוד שיש להכריע בו, אלא כמתח שיש ללמוד לנהל.</w:t>
      </w:r>
    </w:p>
    <w:p>
      <w:pPr>
        <w:bidi w:val="1"/>
        <w:spacing w:line="360" w:lineRule="auto" w:after="160"/>
        <w:jc w:val="both"/>
      </w:pPr>
      <w:r>
        <w:rPr>
          <w:rFonts w:ascii="David" w:hAnsi="David" w:cs="David"/>
          <w:b w:val="0"/>
          <w:i w:val="0"/>
          <w:sz w:val="24"/>
          <w:szCs w:val="24"/>
          <w:rtl w:val="1"/>
        </w:rPr>
        <w:t>נקודת המוצא של השיח הזה היא תפיסת הזכויות. המכון הישראלי לדמוקרטיה מציב את האוטונומיה האישית כציר מרכזי בשיח זכויות האדם של אנשים עם מוגבלות, לצד הדרישה לשוויון, וטוען שהכרה ביכולת של אדם להחליט על חייו היא תנאי לשותפות מלאה בחברה ולא ויתור על ההגנה עליו (המכון הישראלי לדמוקרטיה). התפיסה הזאת מהדהדת את המעבר שהאמנה הבינלאומית בדבר זכויותיהם של אנשים עם מוגבלות חוללה, ממודל שראה באדם מושא לטיפול והגנה אל מודל שרואה בו נושא זכויות ובעל כשירות משפטית שווה.</w:t>
      </w:r>
    </w:p>
    <w:p>
      <w:pPr>
        <w:bidi w:val="1"/>
        <w:spacing w:line="360" w:lineRule="auto" w:after="160"/>
        <w:jc w:val="both"/>
      </w:pPr>
      <w:r>
        <w:rPr>
          <w:rFonts w:ascii="David" w:hAnsi="David" w:cs="David"/>
          <w:b w:val="0"/>
          <w:i w:val="0"/>
          <w:sz w:val="24"/>
          <w:szCs w:val="24"/>
          <w:rtl w:val="1"/>
        </w:rPr>
        <w:t>ההשלכה המעשית של המעבר הזה מתבטאת במושג של קבלת החלטות נתמכת, חלופה לאפוטרופסות שבה האדם נשאר בעל ההחלטה ומקבל סביבו מעגל תמיכה שעוזר לו להבין, לשקול ולהחליט. עמותת אלו"ט מתארת את הגישה הזאת ככלי שמאפשר לאנשים על הרצף לממש עצמאות אמיתית, מתוך התפיסה שהזכות להחליט אינה מותנית ביכולת להחליט לבד, אלא בזכות לקבל תמיכה מתאימה בדרך אל ההחלטה (אלו"ט). כאן נשבר הקישור האוטומטי שנטינו לעשות בין קושי בקבלת החלטות לבין שלילת הזכות להחליט, קישור שעמד בבסיס מודל האפוטרופסות המסורתי.</w:t>
      </w:r>
    </w:p>
    <w:p>
      <w:pPr>
        <w:bidi w:val="1"/>
        <w:spacing w:line="360" w:lineRule="auto" w:after="160"/>
        <w:jc w:val="both"/>
      </w:pPr>
      <w:r>
        <w:rPr>
          <w:rFonts w:ascii="David" w:hAnsi="David" w:cs="David"/>
          <w:b w:val="0"/>
          <w:i w:val="0"/>
          <w:sz w:val="24"/>
          <w:szCs w:val="24"/>
          <w:rtl w:val="1"/>
        </w:rPr>
        <w:t>במחקר שבחן מתבגרים עם מוגבלות מצאה טאוב (2018) שההגדרה העצמית והאוטונומיה בקבלת החלטות אינן תכונות מולדות שהנער או הנערה מגיעים איתן, אלא יכולות שנבנות או נחסמות בהתאם לסביבה. להורים ולאנשי החינוך הסובבים את המתבגר תפקיד מכריע, שכן דווקא מתוך רצון להגן הם נוטים לצמצם את מרחב הבחירה שלו, ובכך מעכבים בלי כוונה את התפתחות היכולת שהם מבקשים להשלים (טאוב, 2018). הממצא הזה נוגע ישירות בעבודה החינוכית, משום שהוא מציב מראה מול הנטייה הטבעית של המבוגר האחראי, ומראה שהגנת יתר עלולה להזיק לא פחות מהזנחה.</w:t>
      </w:r>
    </w:p>
    <w:p>
      <w:pPr>
        <w:bidi w:val="1"/>
        <w:spacing w:line="360" w:lineRule="auto" w:after="160"/>
        <w:jc w:val="both"/>
      </w:pPr>
      <w:r>
        <w:rPr>
          <w:rFonts w:ascii="David" w:hAnsi="David" w:cs="David"/>
          <w:b w:val="0"/>
          <w:i w:val="0"/>
          <w:sz w:val="24"/>
          <w:szCs w:val="24"/>
          <w:rtl w:val="1"/>
        </w:rPr>
        <w:t>כשמצרפים את שלושת המקורות מתקבלת תמונה עקבית. ההגנה איננה מנוגדת לאוטונומיה, אלא אמורה לשרת אותה. מוגנות ראויה היא כזו שמצמצמת סיכון בלי לצמצם את האדם, ואילו מוגנות שמוחקת את הרצון של מי שאמורים להגן עליו הופכת בעצמה למקור של סיכון, סיכון של תלות, של אובדן קול ושל פגיעה בכבוד. הקושי האמיתי, כפי שראיתי לאורך הקורס, הוא שאין קו ברור שמפריד בין השניים. כל מקרה דורש שיקול דעת מחדש, והכרעה שמתאימה לילד אחד עלולה להיות שגויה עבור אחר.</w:t>
      </w:r>
    </w:p>
    <w:p>
      <w:pPr>
        <w:bidi w:val="1"/>
        <w:spacing w:line="360" w:lineRule="auto" w:after="160"/>
        <w:jc w:val="both"/>
      </w:pPr>
      <w:r>
        <w:rPr>
          <w:rFonts w:ascii="David" w:hAnsi="David" w:cs="David"/>
          <w:b w:val="0"/>
          <w:i w:val="0"/>
          <w:sz w:val="24"/>
          <w:szCs w:val="24"/>
          <w:rtl w:val="1"/>
        </w:rPr>
        <w:t>מבחינתי כאיש חינוך, המשמעות המעשית היא מעבר מעמדה של הגנה אל עמדה של ליווי. במקום לשאול איך אני שומר על התלמיד, השאלה שאני מבקש.ת לקחת מהקורס היא איך אני עוזר לו לשמור על עצמו, כלומר איך אני בונה יחד איתו את הכלים, את הניסיון ואת הביטחון שיאפשרו לו להחליט. הצבת המתח בין מוגנות לאוטונומיה במרכז העבודה אינה מקלה עליה, אבל היא הופכת אותה למכבדת יותר את מי שהיא מיועדת לו.</w:t>
      </w:r>
    </w:p>
    <w:p>
      <w:r>
        <w:br w:type="page"/>
      </w:r>
    </w:p>
    <w:p>
      <w:pPr>
        <w:bidi w:val="1"/>
        <w:spacing w:line="360" w:lineRule="auto" w:after="200"/>
        <w:jc w:val="right"/>
      </w:pPr>
      <w:r>
        <w:rPr>
          <w:rFonts w:ascii="David" w:hAnsi="David" w:cs="David"/>
          <w:b/>
          <w:i w:val="0"/>
          <w:sz w:val="28"/>
          <w:szCs w:val="28"/>
          <w:rtl w:val="1"/>
        </w:rPr>
        <w:t>רשימת מקורות</w:t>
      </w:r>
    </w:p>
    <w:p>
      <w:pPr>
        <w:bidi w:val="1"/>
        <w:spacing w:line="360" w:lineRule="auto" w:after="200"/>
        <w:ind w:left="720" w:hanging="720"/>
        <w:jc w:val="both"/>
      </w:pPr>
      <w:r>
        <w:rPr>
          <w:rFonts w:ascii="David" w:hAnsi="David" w:cs="David"/>
          <w:b w:val="0"/>
          <w:i w:val="0"/>
          <w:sz w:val="24"/>
          <w:szCs w:val="24"/>
          <w:rtl w:val="1"/>
        </w:rPr>
        <w:t xml:space="preserve">טאוב, ת' (2018). </w:t>
      </w:r>
      <w:r>
        <w:rPr>
          <w:rFonts w:ascii="David" w:hAnsi="David" w:cs="David"/>
          <w:b w:val="0"/>
          <w:i/>
          <w:sz w:val="24"/>
          <w:szCs w:val="24"/>
          <w:rtl w:val="1"/>
        </w:rPr>
        <w:t>הגדרה עצמית ואוטונומיה בקבלת החלטות של מתבגרים עם מוגבלות</w:t>
      </w:r>
      <w:r>
        <w:rPr>
          <w:rFonts w:ascii="David" w:hAnsi="David" w:cs="David"/>
          <w:b w:val="0"/>
          <w:i w:val="0"/>
          <w:sz w:val="24"/>
          <w:szCs w:val="24"/>
          <w:rtl w:val="1"/>
        </w:rPr>
        <w:t>. ירושלים: קרן שלם.</w:t>
      </w:r>
      <w:r>
        <w:rPr>
          <w:rFonts w:ascii="David" w:hAnsi="David" w:cs="David"/>
          <w:b w:val="0"/>
          <w:i w:val="0"/>
          <w:sz w:val="24"/>
          <w:szCs w:val="24"/>
          <w:rtl w:val="1"/>
        </w:rPr>
        <w:t xml:space="preserve"> </w:t>
      </w:r>
      <w:hyperlink r:id="rId9">
        <w:r>
          <w:rPr>
            <w:rFonts w:ascii="David" w:hAnsi="David" w:cs="David"/>
            <w:sz w:val="24"/>
            <w:szCs w:val="24"/>
            <w:color w:val="0563C1"/>
            <w:u w:val="single"/>
            <w:rtl w:val="1"/>
          </w:rPr>
          <w:t xml:space="preserve">https://www.kshalem.org.il/wp-content/uploads/2023/05/%D7%94%D7%9E%D7%97%D7%A7%D7%A8-%D7%94%D7%9E%D7%9C%D7%90-890-109-2018.pdf</w:t>
        </w:r>
      </w:hyperlink>
    </w:p>
    <w:p>
      <w:pPr>
        <w:bidi w:val="1"/>
        <w:spacing w:line="360" w:lineRule="auto" w:after="200"/>
        <w:ind w:left="720" w:hanging="720"/>
        <w:jc w:val="both"/>
      </w:pPr>
      <w:r>
        <w:rPr>
          <w:rFonts w:ascii="David" w:hAnsi="David" w:cs="David"/>
          <w:b w:val="0"/>
          <w:i w:val="0"/>
          <w:sz w:val="24"/>
          <w:szCs w:val="24"/>
          <w:rtl w:val="1"/>
        </w:rPr>
        <w:t xml:space="preserve">אלו"ט. </w:t>
      </w:r>
      <w:r>
        <w:rPr>
          <w:rFonts w:ascii="David" w:hAnsi="David" w:cs="David"/>
          <w:b w:val="0"/>
          <w:i/>
          <w:sz w:val="24"/>
          <w:szCs w:val="24"/>
          <w:rtl w:val="1"/>
        </w:rPr>
        <w:t>זה מה שאני רוצה: קבלת החלטות נתמכת כבסיס לעצמאות של א.נשים עם מוגבלות</w:t>
      </w:r>
      <w:r>
        <w:rPr>
          <w:rFonts w:ascii="David" w:hAnsi="David" w:cs="David"/>
          <w:b w:val="0"/>
          <w:i w:val="0"/>
          <w:sz w:val="24"/>
          <w:szCs w:val="24"/>
          <w:rtl w:val="1"/>
        </w:rPr>
        <w:t>. אקדמיית אלו"ט. נדלה ביולי 2026.</w:t>
      </w:r>
      <w:r>
        <w:rPr>
          <w:rFonts w:ascii="David" w:hAnsi="David" w:cs="David"/>
          <w:b w:val="0"/>
          <w:i w:val="0"/>
          <w:sz w:val="24"/>
          <w:szCs w:val="24"/>
          <w:rtl w:val="1"/>
        </w:rPr>
        <w:t xml:space="preserve"> </w:t>
      </w:r>
      <w:hyperlink r:id="rId10">
        <w:r>
          <w:rPr>
            <w:rFonts w:ascii="David" w:hAnsi="David" w:cs="David"/>
            <w:sz w:val="24"/>
            <w:szCs w:val="24"/>
            <w:color w:val="0563C1"/>
            <w:u w:val="single"/>
            <w:rtl w:val="1"/>
          </w:rPr>
          <w:t xml:space="preserve">https://alut.org.il/academy/</w:t>
        </w:r>
      </w:hyperlink>
    </w:p>
    <w:p>
      <w:pPr>
        <w:bidi w:val="1"/>
        <w:spacing w:line="360" w:lineRule="auto" w:after="200"/>
        <w:ind w:left="720" w:hanging="720"/>
        <w:jc w:val="both"/>
      </w:pPr>
      <w:r>
        <w:rPr>
          <w:rFonts w:ascii="David" w:hAnsi="David" w:cs="David"/>
          <w:b w:val="0"/>
          <w:i w:val="0"/>
          <w:sz w:val="24"/>
          <w:szCs w:val="24"/>
          <w:rtl w:val="1"/>
        </w:rPr>
        <w:t xml:space="preserve">המכון הישראלי לדמוקרטיה. </w:t>
      </w:r>
      <w:r>
        <w:rPr>
          <w:rFonts w:ascii="David" w:hAnsi="David" w:cs="David"/>
          <w:b w:val="0"/>
          <w:i/>
          <w:sz w:val="24"/>
          <w:szCs w:val="24"/>
          <w:rtl w:val="1"/>
        </w:rPr>
        <w:t>אנשים עם מוגבלות ושיח זכויות האדם: סתירה או פוטנציאל לשינוי?</w:t>
      </w:r>
      <w:r>
        <w:rPr>
          <w:rFonts w:ascii="David" w:hAnsi="David" w:cs="David"/>
          <w:b w:val="0"/>
          <w:i w:val="0"/>
          <w:sz w:val="24"/>
          <w:szCs w:val="24"/>
          <w:rtl w:val="1"/>
        </w:rPr>
        <w:t xml:space="preserve"> נדלה ביולי 2026.</w:t>
      </w:r>
      <w:r>
        <w:rPr>
          <w:rFonts w:ascii="David" w:hAnsi="David" w:cs="David"/>
          <w:b w:val="0"/>
          <w:i w:val="0"/>
          <w:sz w:val="24"/>
          <w:szCs w:val="24"/>
          <w:rtl w:val="1"/>
        </w:rPr>
        <w:t xml:space="preserve"> </w:t>
      </w:r>
      <w:hyperlink r:id="rId11">
        <w:r>
          <w:rPr>
            <w:rFonts w:ascii="David" w:hAnsi="David" w:cs="David"/>
            <w:sz w:val="24"/>
            <w:szCs w:val="24"/>
            <w:color w:val="0563C1"/>
            <w:u w:val="single"/>
            <w:rtl w:val="1"/>
          </w:rPr>
          <w:t xml:space="preserve">https://www.idi.org.il/parliaments/7796/7892</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shalem.org.il/wp-content/uploads/2023/05/%D7%94%D7%9E%D7%97%D7%A7%D7%A8-%D7%94%D7%9E%D7%9C%D7%90-890-109-2018.pdf" TargetMode="External"/><Relationship Id="rId10" Type="http://schemas.openxmlformats.org/officeDocument/2006/relationships/hyperlink" Target="https://alut.org.il/academy/" TargetMode="External"/><Relationship Id="rId11" Type="http://schemas.openxmlformats.org/officeDocument/2006/relationships/hyperlink" Target="https://www.idi.org.il/parliaments/7796/78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