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footnotes.xml" ContentType="application/vnd.openxmlformats-officedocument.wordprocessingml.footnot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800000" cy="1800000"/>
            <wp:docPr id="1" name="Picture 1"/>
            <wp:cNvGraphicFramePr>
              <a:graphicFrameLocks noChangeAspect="1"/>
            </wp:cNvGraphicFramePr>
            <a:graphic>
              <a:graphicData uri="http://schemas.openxmlformats.org/drawingml/2006/picture">
                <pic:pic>
                  <pic:nvPicPr>
                    <pic:cNvPr id="0" name="logo.jpg"/>
                    <pic:cNvPicPr/>
                  </pic:nvPicPr>
                  <pic:blipFill>
                    <a:blip r:embed="rId9"/>
                    <a:stretch>
                      <a:fillRect/>
                    </a:stretch>
                  </pic:blipFill>
                  <pic:spPr>
                    <a:xfrm>
                      <a:off x="0" y="0"/>
                      <a:ext cx="1800000" cy="1800000"/>
                    </a:xfrm>
                    <a:prstGeom prst="rect"/>
                  </pic:spPr>
                </pic:pic>
              </a:graphicData>
            </a:graphic>
          </wp:inline>
        </w:drawing>
      </w:r>
    </w:p>
    <w:p>
      <w:pPr>
        <w:bidi/>
        <w:spacing w:before="240" w:after="0"/>
        <w:jc w:val="center"/>
      </w:pPr>
      <w:r>
        <w:rPr>
          <w:sz w:val="26"/>
          <w:rtl/>
          <w:szCs w:val="26"/>
        </w:rPr>
        <w:t>התכנית לייעוץ ופיתוח ארגוני, תואר שני</w:t>
      </w:r>
    </w:p>
    <w:p>
      <w:pPr>
        <w:bidi/>
        <w:spacing w:before="1400" w:after="0"/>
        <w:jc w:val="center"/>
      </w:pPr>
      <w:r>
        <w:rPr>
          <w:b/>
          <w:sz w:val="32"/>
          <w:rtl/>
          <w:szCs w:val="32"/>
          <w:bCs/>
        </w:rPr>
        <w:t>עבודה מסכמת</w:t>
      </w:r>
    </w:p>
    <w:p>
      <w:pPr>
        <w:bidi/>
        <w:spacing w:before="240" w:after="0"/>
        <w:jc w:val="center"/>
      </w:pPr>
      <w:r>
        <w:rPr>
          <w:b/>
          <w:sz w:val="32"/>
          <w:rtl/>
          <w:szCs w:val="32"/>
          <w:bCs/>
        </w:rPr>
        <w:t>היבטים משפטיים ואתיים בייעוץ ופיתוח ארגוני</w:t>
      </w:r>
    </w:p>
    <w:p>
      <w:pPr>
        <w:bidi/>
        <w:spacing w:before="0" w:after="0"/>
        <w:jc w:val="center"/>
      </w:pPr>
      <w:r>
        <w:rPr>
          <w:sz w:val="26"/>
          <w:rtl/>
          <w:szCs w:val="26"/>
        </w:rPr>
        <w:t>(קוד הקורס: 3008)</w:t>
      </w:r>
    </w:p>
    <w:p>
      <w:pPr>
        <w:bidi/>
        <w:spacing w:before="1200" w:after="0"/>
        <w:jc w:val="center"/>
      </w:pPr>
      <w:r>
        <w:rPr>
          <w:sz w:val="26"/>
          <w:rtl/>
          <w:szCs w:val="26"/>
        </w:rPr>
        <w:t>מרצה: ד"ר גליה הילדסהימר</w:t>
      </w:r>
    </w:p>
    <w:p>
      <w:pPr>
        <w:bidi/>
        <w:spacing w:before="0" w:after="0"/>
        <w:jc w:val="center"/>
      </w:pPr>
      <w:r>
        <w:rPr>
          <w:sz w:val="26"/>
          <w:rtl/>
          <w:szCs w:val="26"/>
        </w:rPr>
        <w:t>מתרגל: עו"ד טל מזר</w:t>
      </w:r>
    </w:p>
    <w:p>
      <w:pPr>
        <w:bidi/>
        <w:spacing w:before="1200" w:after="0"/>
        <w:jc w:val="center"/>
      </w:pPr>
      <w:r>
        <w:rPr>
          <w:sz w:val="26"/>
          <w:rtl/>
          <w:szCs w:val="26"/>
        </w:rPr>
        <w:t>מגיש/ה: ____________________</w:t>
      </w:r>
    </w:p>
    <w:p>
      <w:pPr>
        <w:bidi/>
        <w:spacing w:before="0" w:after="0"/>
        <w:jc w:val="center"/>
      </w:pPr>
      <w:r>
        <w:rPr>
          <w:sz w:val="26"/>
          <w:rtl/>
          <w:szCs w:val="26"/>
        </w:rPr>
        <w:t>ת"ז: ____________________</w:t>
      </w:r>
    </w:p>
    <w:p>
      <w:pPr>
        <w:bidi/>
        <w:spacing w:before="1200" w:after="0"/>
        <w:jc w:val="center"/>
      </w:pPr>
      <w:r>
        <w:rPr>
          <w:sz w:val="26"/>
          <w:rtl/>
          <w:szCs w:val="26"/>
        </w:rPr>
        <w:t>סמסטר קיץ, שנה"ל תשפ"ו</w:t>
      </w:r>
    </w:p>
    <w:p>
      <w:pPr>
        <w:bidi/>
        <w:spacing w:before="0" w:after="0"/>
        <w:jc w:val="center"/>
      </w:pPr>
      <w:r>
        <w:rPr>
          <w:sz w:val="26"/>
          <w:rtl/>
          <w:szCs w:val="26"/>
        </w:rPr>
        <w:t>אוקטובר 2026</w:t>
      </w:r>
    </w:p>
    <w:p>
      <w:pPr>
        <w:pageBreakBefore/>
        <w:bidi/>
        <w:spacing w:before="0" w:after="120"/>
        <w:jc w:val="center"/>
      </w:pPr>
      <w:r>
        <w:rPr>
          <w:b/>
          <w:sz w:val="28"/>
          <w:rtl/>
          <w:szCs w:val="28"/>
          <w:bCs/>
        </w:rPr>
        <w:t>חלק א': מעמדה של "קבוצת עובדי NeuroTech" ופעולות הנהלת החברה</w:t>
      </w:r>
    </w:p>
    <w:p>
      <w:pPr>
        <w:bidi/>
        <w:spacing w:before="120" w:after="0"/>
        <w:jc w:val="both"/>
      </w:pPr>
      <w:r>
        <w:rPr>
          <w:b/>
          <w:sz w:val="24"/>
          <w:rtl/>
          <w:szCs w:val="24"/>
          <w:bCs/>
        </w:rPr>
        <w:t>1. חופש ההתארגנות ומהו "ארגון עובדים"</w:t>
      </w:r>
    </w:p>
    <w:p>
      <w:pPr>
        <w:bidi/>
        <w:spacing w:before="0" w:after="0"/>
        <w:jc w:val="both"/>
      </w:pPr>
      <w:r>
        <w:rPr>
          <w:sz w:val="24"/>
          <w:rtl/>
          <w:szCs w:val="24"/>
        </w:rPr>
        <w:t>לחופש ההתארגנות שני פנים: הזכות של עובד להתארגן ולפעול בארגון עובדים, והזכות שלא להתארגן (</w:t>
      </w:r>
      <w:r>
        <w:rPr>
          <w:b/>
          <w:sz w:val="24"/>
          <w:rtl/>
          <w:szCs w:val="24"/>
          <w:bCs/>
        </w:rPr>
        <w:t>חופש מהתארגנות</w:t>
      </w:r>
      <w:r>
        <w:rPr>
          <w:sz w:val="24"/>
          <w:rtl/>
          <w:szCs w:val="24"/>
        </w:rPr>
        <w:t>).</w:t>
      </w:r>
      <w:r>
        <w:rPr>
          <w:vertAlign w:val="superscript"/>
        </w:rPr>
        <w:footnoteReference w:id="1"/>
      </w:r>
      <w:r>
        <w:rPr>
          <w:sz w:val="24"/>
          <w:rtl/>
          <w:szCs w:val="24"/>
        </w:rPr>
        <w:t xml:space="preserve"> הזכות הראשונה מעוגנת ב</w:t>
      </w:r>
      <w:r>
        <w:rPr>
          <w:b/>
          <w:sz w:val="24"/>
          <w:rtl/>
          <w:szCs w:val="24"/>
          <w:bCs/>
        </w:rPr>
        <w:t>סעיף 33ח לחוק הסכמים קיבוציים</w:t>
      </w:r>
      <w:r>
        <w:rPr>
          <w:sz w:val="24"/>
          <w:rtl/>
          <w:szCs w:val="24"/>
        </w:rPr>
        <w:t>,</w:t>
      </w:r>
      <w:r>
        <w:rPr>
          <w:vertAlign w:val="superscript"/>
        </w:rPr>
        <w:footnoteReference w:id="2"/>
      </w:r>
      <w:r>
        <w:rPr>
          <w:sz w:val="24"/>
          <w:rtl/>
          <w:szCs w:val="24"/>
        </w:rPr>
        <w:t xml:space="preserve"> ו</w:t>
      </w:r>
      <w:r>
        <w:rPr>
          <w:b/>
          <w:sz w:val="24"/>
          <w:rtl/>
          <w:szCs w:val="24"/>
          <w:bCs/>
        </w:rPr>
        <w:t>סעיף 33י(א)</w:t>
      </w:r>
      <w:r>
        <w:rPr>
          <w:sz w:val="24"/>
          <w:rtl/>
          <w:szCs w:val="24"/>
        </w:rPr>
        <w:t xml:space="preserve"> אוסר על מעסיק לפגוע בעובד בשל חברותו בארגון עובדים, בשל פעילותו להקמתו, וגם בשל הימנעותו מלהיות חבר בו.</w:t>
      </w:r>
    </w:p>
    <w:p>
      <w:pPr>
        <w:bidi/>
        <w:spacing w:before="0" w:after="0"/>
        <w:jc w:val="both"/>
      </w:pPr>
      <w:r>
        <w:rPr>
          <w:sz w:val="24"/>
          <w:rtl/>
          <w:szCs w:val="24"/>
        </w:rPr>
        <w:t xml:space="preserve">ההכרה בגוף כ"ארגון עובדים" היא תנאי סף. רק ארגון עובדים יכול להיות </w:t>
      </w:r>
      <w:r>
        <w:rPr>
          <w:b/>
          <w:sz w:val="24"/>
          <w:rtl/>
          <w:szCs w:val="24"/>
          <w:bCs/>
        </w:rPr>
        <w:t>ארגון יציג</w:t>
      </w:r>
      <w:r>
        <w:rPr>
          <w:sz w:val="24"/>
          <w:rtl/>
          <w:szCs w:val="24"/>
        </w:rPr>
        <w:t xml:space="preserve">, כלומר הארגון שבו מאורגן המספר הגדול ביותר של העובדים, ובלבד שאינו פחות משליש (סעיף 3 לחוק), ורק הארגון היציג רשאי לחתום על </w:t>
      </w:r>
      <w:r>
        <w:rPr>
          <w:b/>
          <w:sz w:val="24"/>
          <w:rtl/>
          <w:szCs w:val="24"/>
          <w:bCs/>
        </w:rPr>
        <w:t>הסכם קיבוצי מיוחד</w:t>
      </w:r>
      <w:r>
        <w:rPr>
          <w:sz w:val="24"/>
          <w:rtl/>
          <w:szCs w:val="24"/>
        </w:rPr>
        <w:t xml:space="preserve"> במפעל (סעיף 2(1) לחוק). החוק אינו מגדיר "ארגון עובדים", והמבחנים נקבעו ב</w:t>
      </w:r>
      <w:r>
        <w:rPr>
          <w:b/>
          <w:sz w:val="24"/>
          <w:rtl/>
          <w:szCs w:val="24"/>
          <w:bCs/>
        </w:rPr>
        <w:t>עניין עמית</w:t>
      </w:r>
      <w:r>
        <w:rPr>
          <w:sz w:val="24"/>
          <w:rtl/>
          <w:szCs w:val="24"/>
        </w:rPr>
        <w:t>.</w:t>
      </w:r>
      <w:r>
        <w:rPr>
          <w:vertAlign w:val="superscript"/>
        </w:rPr>
        <w:footnoteReference w:id="3"/>
      </w:r>
      <w:r>
        <w:rPr>
          <w:sz w:val="24"/>
          <w:rtl/>
          <w:szCs w:val="24"/>
        </w:rPr>
        <w:t xml:space="preserve"> </w:t>
      </w:r>
      <w:r>
        <w:rPr>
          <w:b/>
          <w:sz w:val="24"/>
          <w:rtl/>
          <w:szCs w:val="24"/>
          <w:bCs/>
        </w:rPr>
        <w:t>מבחן החברות</w:t>
      </w:r>
      <w:r>
        <w:rPr>
          <w:sz w:val="24"/>
          <w:rtl/>
          <w:szCs w:val="24"/>
        </w:rPr>
        <w:t xml:space="preserve">: החברים הם בעיקר עובדים שכירים והחברות רצונית. </w:t>
      </w:r>
      <w:r>
        <w:rPr>
          <w:b/>
          <w:sz w:val="24"/>
          <w:rtl/>
          <w:szCs w:val="24"/>
          <w:bCs/>
        </w:rPr>
        <w:t>מבחן התקנון</w:t>
      </w:r>
      <w:r>
        <w:rPr>
          <w:sz w:val="24"/>
          <w:rtl/>
          <w:szCs w:val="24"/>
        </w:rPr>
        <w:t xml:space="preserve">: לארגון תקנון המסדיר את מוסדותיו ומטרותיו. </w:t>
      </w:r>
      <w:r>
        <w:rPr>
          <w:b/>
          <w:sz w:val="24"/>
          <w:rtl/>
          <w:szCs w:val="24"/>
          <w:bCs/>
        </w:rPr>
        <w:t>מבחן המטרה</w:t>
      </w:r>
      <w:r>
        <w:rPr>
          <w:sz w:val="24"/>
          <w:rtl/>
          <w:szCs w:val="24"/>
        </w:rPr>
        <w:t xml:space="preserve">: קידום תנאי העבודה בדרך של משא ומתן קיבוצי. </w:t>
      </w:r>
      <w:r>
        <w:rPr>
          <w:b/>
          <w:sz w:val="24"/>
          <w:rtl/>
          <w:szCs w:val="24"/>
          <w:bCs/>
        </w:rPr>
        <w:t>מבחן ההתארגנות</w:t>
      </w:r>
      <w:r>
        <w:rPr>
          <w:sz w:val="24"/>
          <w:rtl/>
          <w:szCs w:val="24"/>
        </w:rPr>
        <w:t xml:space="preserve">: ארגון של קבע, עצמאי, המהווה </w:t>
      </w:r>
      <w:r>
        <w:rPr>
          <w:b/>
          <w:sz w:val="24"/>
          <w:rtl/>
          <w:szCs w:val="24"/>
          <w:bCs/>
        </w:rPr>
        <w:t>קול נגדי למעסיק</w:t>
      </w:r>
      <w:r>
        <w:rPr>
          <w:sz w:val="24"/>
          <w:rtl/>
          <w:szCs w:val="24"/>
        </w:rPr>
        <w:t>.</w:t>
      </w:r>
    </w:p>
    <w:p>
      <w:pPr>
        <w:bidi/>
        <w:spacing w:before="120" w:after="0"/>
        <w:jc w:val="both"/>
      </w:pPr>
      <w:r>
        <w:rPr>
          <w:b/>
          <w:sz w:val="24"/>
          <w:rtl/>
          <w:szCs w:val="24"/>
          <w:bCs/>
        </w:rPr>
        <w:t>2. האם הקבוצה היא ארגון עובדים?</w:t>
      </w:r>
    </w:p>
    <w:p>
      <w:pPr>
        <w:bidi/>
        <w:spacing w:before="0" w:after="0"/>
        <w:jc w:val="both"/>
      </w:pPr>
      <w:r>
        <w:rPr>
          <w:sz w:val="24"/>
          <w:rtl/>
          <w:szCs w:val="24"/>
        </w:rPr>
        <w:t xml:space="preserve">מבחני החברות והתקנון מתקיימים, והקושי בשני האחרים. </w:t>
      </w:r>
      <w:r>
        <w:rPr>
          <w:b/>
          <w:sz w:val="24"/>
          <w:rtl/>
          <w:szCs w:val="24"/>
          <w:bCs/>
        </w:rPr>
        <w:t>מבחן המטרה.</w:t>
      </w:r>
      <w:r>
        <w:rPr>
          <w:sz w:val="24"/>
          <w:rtl/>
          <w:szCs w:val="24"/>
        </w:rPr>
        <w:t xml:space="preserve"> אף שסעיף הסמכויות מקנה לקבוצה סמכויות של ארגון עובדים, </w:t>
      </w:r>
      <w:r>
        <w:rPr>
          <w:b/>
          <w:sz w:val="24"/>
          <w:rtl/>
          <w:szCs w:val="24"/>
          <w:bCs/>
        </w:rPr>
        <w:t>מטרה ד'</w:t>
      </w:r>
      <w:r>
        <w:rPr>
          <w:sz w:val="24"/>
          <w:rtl/>
          <w:szCs w:val="24"/>
        </w:rPr>
        <w:t xml:space="preserve"> מוציאה מראש מתחום הפעולה הקיבוצית את השכר, הבונוסים והאופציות. גם </w:t>
      </w:r>
      <w:r>
        <w:rPr>
          <w:b/>
          <w:sz w:val="24"/>
          <w:rtl/>
          <w:szCs w:val="24"/>
          <w:bCs/>
        </w:rPr>
        <w:t>מטרה ב'</w:t>
      </w:r>
      <w:r>
        <w:rPr>
          <w:sz w:val="24"/>
          <w:rtl/>
          <w:szCs w:val="24"/>
        </w:rPr>
        <w:t xml:space="preserve">, יציבות החברה והמשך פעילותה בישראל, היא אינטרס של המעסיק. הנימוק שבהודעת הקבוצה אינו מחזיק: לפי </w:t>
      </w:r>
      <w:r>
        <w:rPr>
          <w:b/>
          <w:sz w:val="24"/>
          <w:rtl/>
          <w:szCs w:val="24"/>
          <w:bCs/>
        </w:rPr>
        <w:t>סעיף 22 לחוק</w:t>
      </w:r>
      <w:r>
        <w:rPr>
          <w:sz w:val="24"/>
          <w:rtl/>
          <w:szCs w:val="24"/>
        </w:rPr>
        <w:t xml:space="preserve"> הוראה אישית לטובת העובד גוברת על ההסכם הקיבוצי.</w:t>
      </w:r>
    </w:p>
    <w:p>
      <w:pPr>
        <w:bidi/>
        <w:spacing w:before="0" w:after="0"/>
        <w:jc w:val="both"/>
      </w:pPr>
      <w:r>
        <w:rPr>
          <w:b/>
          <w:sz w:val="24"/>
          <w:rtl/>
          <w:szCs w:val="24"/>
          <w:bCs/>
        </w:rPr>
        <w:t>מבחן ההתארגנות.</w:t>
      </w:r>
      <w:r>
        <w:rPr>
          <w:sz w:val="24"/>
          <w:rtl/>
          <w:szCs w:val="24"/>
        </w:rPr>
        <w:t xml:space="preserve"> הקבוצה הוקמה בתגובה ישירה להצטרפות העובדים להסתדרות ומגדירה את עצמה כמי שפועלת "בשיתוף פעולה ובהידברות" עם ההנהלה. גוף שהמעסיק תומך בו כך אינו "קול נגדי" לו.</w:t>
      </w:r>
    </w:p>
    <w:p>
      <w:pPr>
        <w:bidi/>
        <w:spacing w:before="0" w:after="0"/>
        <w:jc w:val="both"/>
      </w:pPr>
      <w:r>
        <w:rPr>
          <w:b/>
          <w:sz w:val="24"/>
          <w:rtl/>
          <w:szCs w:val="24"/>
          <w:bCs/>
        </w:rPr>
        <w:t>עניין נוקיה.</w:t>
      </w:r>
      <w:r>
        <w:rPr>
          <w:sz w:val="24"/>
          <w:rtl/>
          <w:szCs w:val="24"/>
        </w:rPr>
        <w:t xml:space="preserve"> בנוקיה הוקם ארגון פנימי כחלופה להסתדרות, שהדגיש "שמירה על החוזה האישי של כל עובד". בית הדין הארצי קבע כי העמידה במבחני עניין עמית נבחנת במועד הכרזת היציגות, וכי אין להקל בהם גם לארגון חדש, ובוודאי לא במבחן המטרה.</w:t>
      </w:r>
      <w:r>
        <w:rPr>
          <w:vertAlign w:val="superscript"/>
        </w:rPr>
        <w:footnoteReference w:id="4"/>
      </w:r>
      <w:r>
        <w:rPr>
          <w:sz w:val="24"/>
          <w:rtl/>
          <w:szCs w:val="24"/>
        </w:rPr>
        <w:t xml:space="preserve"> מטרתו העיקרית של ארגון עובדים חייבת להיות משא ומתן קיבוצי לשיפור תנאי העבודה,</w:t>
      </w:r>
      <w:r>
        <w:rPr>
          <w:vertAlign w:val="superscript"/>
        </w:rPr>
        <w:footnoteReference w:id="5"/>
      </w:r>
      <w:r>
        <w:rPr>
          <w:sz w:val="24"/>
          <w:rtl/>
          <w:szCs w:val="24"/>
        </w:rPr>
        <w:t xml:space="preserve"> וכשעיקר התנאים מעוגנים בחוזים האישיים, נותרת לזירה הקיבוצית רק "הפריפריה" של תנאי העבודה.</w:t>
      </w:r>
      <w:r>
        <w:rPr>
          <w:vertAlign w:val="superscript"/>
        </w:rPr>
        <w:footnoteReference w:id="6"/>
      </w:r>
      <w:r>
        <w:rPr>
          <w:sz w:val="24"/>
          <w:rtl/>
          <w:szCs w:val="24"/>
        </w:rPr>
        <w:t xml:space="preserve"> עוד נקבע כי אותנטיות היא תנאי הכרחי אך לא מספיק, ו"התארגנות אותנטית של שני שלישים מעובדי המפעל בארגון שכל תכליתה התנגדות ליחסי עבודה קיבוציים אינה יכולה להפוך את אותה התארגנות לארגון עובדים".</w:t>
      </w:r>
      <w:r>
        <w:rPr>
          <w:vertAlign w:val="superscript"/>
        </w:rPr>
        <w:footnoteReference w:id="7"/>
      </w:r>
      <w:r>
        <w:rPr>
          <w:sz w:val="24"/>
          <w:rtl/>
          <w:szCs w:val="24"/>
        </w:rPr>
        <w:t xml:space="preserve"> כך גם כאן, ואין נפקות לכך שעובדים רבים הצטרפו לקבוצה.</w:t>
      </w:r>
    </w:p>
    <w:p>
      <w:pPr>
        <w:bidi/>
        <w:spacing w:before="0" w:after="0"/>
        <w:jc w:val="both"/>
      </w:pPr>
      <w:r>
        <w:rPr>
          <w:sz w:val="24"/>
          <w:rtl/>
          <w:szCs w:val="24"/>
        </w:rPr>
        <w:t>אין בכך כדי לפגוע בחופש מהתארגנות. עובד רשאי שלא להצטרף להסתדרות, וסעיף 33י(א)(3) מגן עליו מפני פגיעה בשל כך. חבריה אינם נספרים לצורך היציגות, והודעתה כי היא הארגון היציג חסרת נפקות. חובת המעסיק לנהל משא ומתן בהתארגנות ראשונית חלה רק כלפי ארגון יציג לפי סעיף 3 (</w:t>
      </w:r>
      <w:r>
        <w:rPr>
          <w:b/>
          <w:sz w:val="24"/>
          <w:rtl/>
          <w:szCs w:val="24"/>
          <w:bCs/>
        </w:rPr>
        <w:t>סעיף 33ח1</w:t>
      </w:r>
      <w:r>
        <w:rPr>
          <w:sz w:val="24"/>
          <w:rtl/>
          <w:szCs w:val="24"/>
        </w:rPr>
        <w:t>), ואם ההסתדרות תהיה יציגה, עמה יהיה על ההנהלה לנהל משא ומתן.</w:t>
      </w:r>
    </w:p>
    <w:p>
      <w:pPr>
        <w:bidi/>
        <w:spacing w:before="120" w:after="0"/>
        <w:jc w:val="both"/>
      </w:pPr>
      <w:r>
        <w:rPr>
          <w:b/>
          <w:sz w:val="24"/>
          <w:rtl/>
          <w:szCs w:val="24"/>
          <w:bCs/>
        </w:rPr>
        <w:t>3. האם פעולות ההנהלה נעשו כדין?</w:t>
      </w:r>
    </w:p>
    <w:p>
      <w:pPr>
        <w:bidi/>
        <w:spacing w:before="0" w:after="0"/>
        <w:jc w:val="both"/>
      </w:pPr>
      <w:r>
        <w:rPr>
          <w:sz w:val="24"/>
          <w:rtl/>
          <w:szCs w:val="24"/>
        </w:rPr>
        <w:t>ב</w:t>
      </w:r>
      <w:r>
        <w:rPr>
          <w:b/>
          <w:sz w:val="24"/>
          <w:rtl/>
          <w:szCs w:val="24"/>
          <w:bCs/>
        </w:rPr>
        <w:t>עניין פלאפון</w:t>
      </w:r>
      <w:r>
        <w:rPr>
          <w:vertAlign w:val="superscript"/>
        </w:rPr>
        <w:footnoteReference w:id="8"/>
      </w:r>
      <w:r>
        <w:rPr>
          <w:sz w:val="24"/>
          <w:rtl/>
          <w:szCs w:val="24"/>
        </w:rPr>
        <w:t xml:space="preserve"> נקבע כי בשלב </w:t>
      </w:r>
      <w:r>
        <w:rPr>
          <w:b/>
          <w:sz w:val="24"/>
          <w:rtl/>
          <w:szCs w:val="24"/>
          <w:bCs/>
        </w:rPr>
        <w:t>ההתארגנות הפורצת</w:t>
      </w:r>
      <w:r>
        <w:rPr>
          <w:sz w:val="24"/>
          <w:rtl/>
          <w:szCs w:val="24"/>
        </w:rPr>
        <w:t>, לפני שקם ארגון יציג, גובר חופש ההתארגנות על חופש הביטוי של המעסיק. המעסיק אינו רשאי להביע עמדה על ההתארגנות בשום ערוץ, לרבות ב</w:t>
      </w:r>
      <w:r>
        <w:rPr>
          <w:b/>
          <w:sz w:val="24"/>
          <w:rtl/>
          <w:szCs w:val="24"/>
          <w:bCs/>
        </w:rPr>
        <w:t>שיחות אישיות</w:t>
      </w:r>
      <w:r>
        <w:rPr>
          <w:sz w:val="24"/>
          <w:rtl/>
          <w:szCs w:val="24"/>
        </w:rPr>
        <w:t xml:space="preserve"> ובדואר אלקטרוני, וגם הצבעה על חסרונותיה לעובדים או לחברה, נכונה ככל שתהיה, אסורה. ההלכה אושרה בבג"ץ.</w:t>
      </w:r>
      <w:r>
        <w:rPr>
          <w:vertAlign w:val="superscript"/>
        </w:rPr>
        <w:footnoteReference w:id="9"/>
      </w:r>
      <w:r>
        <w:rPr>
          <w:sz w:val="24"/>
          <w:rtl/>
          <w:szCs w:val="24"/>
        </w:rPr>
        <w:t xml:space="preserve"> ההתארגנות ב-NeuroTech נמצאת בשלב הפורץ, ולכן שלוש פעולות ההנהלה אסורות.</w:t>
      </w:r>
    </w:p>
    <w:p>
      <w:pPr>
        <w:bidi/>
        <w:spacing w:before="0" w:after="0"/>
        <w:jc w:val="both"/>
      </w:pPr>
      <w:r>
        <w:rPr>
          <w:b/>
          <w:sz w:val="24"/>
          <w:rtl/>
          <w:szCs w:val="24"/>
          <w:bCs/>
        </w:rPr>
        <w:t>הודעת הדואר האלקטרוני</w:t>
      </w:r>
      <w:r>
        <w:rPr>
          <w:sz w:val="24"/>
          <w:rtl/>
          <w:szCs w:val="24"/>
        </w:rPr>
        <w:t xml:space="preserve"> מציגה את ההסתדרות כגורם "חיצוני" שעלול לשנות את התרבות הארגונית וקוראת לעובדים "לשקול היטב". זו הצגת חסרונות ההתארגנות בתכתובת אלקטרונית, כמו ההודעה שנפסלה בעניין פלאפון, אף שהנוסח מתון יותר. </w:t>
      </w:r>
      <w:r>
        <w:rPr>
          <w:b/>
          <w:sz w:val="24"/>
          <w:rtl/>
          <w:szCs w:val="24"/>
          <w:bCs/>
        </w:rPr>
        <w:t>הנחיית מנהלי הצוותים</w:t>
      </w:r>
      <w:r>
        <w:rPr>
          <w:sz w:val="24"/>
          <w:rtl/>
          <w:szCs w:val="24"/>
        </w:rPr>
        <w:t xml:space="preserve"> לשוחח עם עובדיהם על "יתרונות המודל האישי" היא מפגש אישי שנאסר במפורש. חומרתה רבה, שכן המנהלים משפיעים על הבונוסים והקידום. </w:t>
      </w:r>
      <w:r>
        <w:rPr>
          <w:b/>
          <w:sz w:val="24"/>
          <w:rtl/>
          <w:szCs w:val="24"/>
          <w:bCs/>
        </w:rPr>
        <w:t>הפגישה עם הקבוצה ודברי השבח</w:t>
      </w:r>
      <w:r>
        <w:rPr>
          <w:sz w:val="24"/>
          <w:rtl/>
          <w:szCs w:val="24"/>
        </w:rPr>
        <w:t xml:space="preserve"> כלפיה מעבירים בעקיפין את אותו מסר.</w:t>
      </w:r>
    </w:p>
    <w:p>
      <w:pPr>
        <w:bidi/>
        <w:spacing w:before="120" w:after="0"/>
        <w:jc w:val="both"/>
      </w:pPr>
      <w:r>
        <w:rPr>
          <w:b/>
          <w:sz w:val="24"/>
          <w:rtl/>
          <w:szCs w:val="24"/>
          <w:bCs/>
        </w:rPr>
        <w:t>4. סיכום</w:t>
      </w:r>
    </w:p>
    <w:p>
      <w:pPr>
        <w:bidi/>
        <w:spacing w:before="0" w:after="0"/>
        <w:jc w:val="both"/>
      </w:pPr>
      <w:r>
        <w:rPr>
          <w:sz w:val="24"/>
          <w:rtl/>
          <w:szCs w:val="24"/>
        </w:rPr>
        <w:t>טענות ההסתדרות מוצדקות: הקבוצה אינה ארגון עובדים, כפי שנפסק בעניין נוקיה, ופעולות ההנהלה הפרו את הלכת פלאפון.</w:t>
      </w:r>
    </w:p>
    <w:p>
      <w:pPr>
        <w:pageBreakBefore/>
        <w:bidi/>
        <w:spacing w:before="0" w:after="120"/>
        <w:jc w:val="center"/>
      </w:pPr>
      <w:r>
        <w:rPr>
          <w:b/>
          <w:sz w:val="28"/>
          <w:rtl/>
          <w:szCs w:val="28"/>
          <w:bCs/>
        </w:rPr>
        <w:t>חלק ב': טענותיו של אורי</w:t>
      </w:r>
    </w:p>
    <w:p>
      <w:pPr>
        <w:bidi/>
        <w:spacing w:before="120" w:after="0"/>
        <w:jc w:val="both"/>
      </w:pPr>
      <w:r>
        <w:rPr>
          <w:b/>
          <w:sz w:val="24"/>
          <w:rtl/>
          <w:szCs w:val="24"/>
          <w:bCs/>
        </w:rPr>
        <w:t>1. האם התנהגותה של דנה עלתה כדי הטרדה מינית?</w:t>
      </w:r>
    </w:p>
    <w:p>
      <w:pPr>
        <w:bidi/>
        <w:spacing w:before="0" w:after="0"/>
        <w:jc w:val="both"/>
      </w:pPr>
      <w:r>
        <w:rPr>
          <w:b/>
          <w:sz w:val="24"/>
          <w:rtl/>
          <w:szCs w:val="24"/>
          <w:bCs/>
        </w:rPr>
        <w:t>החוק למניעת הטרדה מינית</w:t>
      </w:r>
      <w:r>
        <w:rPr>
          <w:sz w:val="24"/>
          <w:rtl/>
          <w:szCs w:val="24"/>
        </w:rPr>
        <w:t xml:space="preserve"> נועד להגן על כבוד האדם, חירותו ופרטיותו.</w:t>
      </w:r>
      <w:r>
        <w:rPr>
          <w:vertAlign w:val="superscript"/>
        </w:rPr>
        <w:footnoteReference w:id="10"/>
      </w:r>
      <w:r>
        <w:rPr>
          <w:sz w:val="24"/>
          <w:rtl/>
          <w:szCs w:val="24"/>
        </w:rPr>
        <w:t xml:space="preserve"> החלופה הרלוונטית היא </w:t>
      </w:r>
      <w:r>
        <w:rPr>
          <w:b/>
          <w:sz w:val="24"/>
          <w:rtl/>
          <w:szCs w:val="24"/>
          <w:bCs/>
        </w:rPr>
        <w:t>סעיף 3(א)(4)</w:t>
      </w:r>
      <w:r>
        <w:rPr>
          <w:sz w:val="24"/>
          <w:rtl/>
          <w:szCs w:val="24"/>
        </w:rPr>
        <w:t xml:space="preserve">: </w:t>
      </w:r>
      <w:r>
        <w:rPr>
          <w:b/>
          <w:sz w:val="24"/>
          <w:rtl/>
          <w:szCs w:val="24"/>
          <w:bCs/>
        </w:rPr>
        <w:t>התייחסויות חוזרות</w:t>
      </w:r>
      <w:r>
        <w:rPr>
          <w:sz w:val="24"/>
          <w:rtl/>
          <w:szCs w:val="24"/>
        </w:rPr>
        <w:t xml:space="preserve"> המופנות לאדם, </w:t>
      </w:r>
      <w:r>
        <w:rPr>
          <w:b/>
          <w:sz w:val="24"/>
          <w:rtl/>
          <w:szCs w:val="24"/>
          <w:bCs/>
        </w:rPr>
        <w:t>המתמקדות במיניותו</w:t>
      </w:r>
      <w:r>
        <w:rPr>
          <w:sz w:val="24"/>
          <w:rtl/>
          <w:szCs w:val="24"/>
        </w:rPr>
        <w:t xml:space="preserve">, כאשר אותו אדם </w:t>
      </w:r>
      <w:r>
        <w:rPr>
          <w:b/>
          <w:sz w:val="24"/>
          <w:rtl/>
          <w:szCs w:val="24"/>
          <w:bCs/>
        </w:rPr>
        <w:t>הראה למטריד שאינו מעוניין</w:t>
      </w:r>
      <w:r>
        <w:rPr>
          <w:sz w:val="24"/>
          <w:rtl/>
          <w:szCs w:val="24"/>
        </w:rPr>
        <w:t xml:space="preserve"> בהן.</w:t>
      </w:r>
    </w:p>
    <w:p>
      <w:pPr>
        <w:bidi/>
        <w:spacing w:before="0" w:after="0"/>
        <w:jc w:val="both"/>
      </w:pPr>
      <w:r>
        <w:rPr>
          <w:sz w:val="24"/>
          <w:rtl/>
          <w:szCs w:val="24"/>
        </w:rPr>
        <w:t>"הראה" פירושו במילים או בהתנהגות שאין ספק סביר לגבי משמעותה (הגדרות שבסעיף 2 לחוק), שכן התייחסויות כאלה כשלעצמן הן התנהגות ניטרלית, ההופכת להטרדה רק כשאינה רצויה.</w:t>
      </w:r>
      <w:r>
        <w:rPr>
          <w:vertAlign w:val="superscript"/>
        </w:rPr>
        <w:footnoteReference w:id="11"/>
      </w:r>
      <w:r>
        <w:rPr>
          <w:sz w:val="24"/>
          <w:rtl/>
          <w:szCs w:val="24"/>
        </w:rPr>
        <w:t xml:space="preserve"> אורי לא הראה זאת בתחילה: הוא שאל שאלות ושיתף פרטים מחייו, וכשביקש להשאיר את הנושא מחוץ לעבודה, דנה הפסיקה מיד.</w:t>
      </w:r>
    </w:p>
    <w:p>
      <w:pPr>
        <w:bidi/>
        <w:spacing w:before="0" w:after="0"/>
        <w:jc w:val="both"/>
      </w:pPr>
      <w:r>
        <w:rPr>
          <w:sz w:val="24"/>
          <w:rtl/>
          <w:szCs w:val="24"/>
        </w:rPr>
        <w:t xml:space="preserve">השאלה העיקרית היא </w:t>
      </w:r>
      <w:r>
        <w:rPr>
          <w:b/>
          <w:sz w:val="24"/>
          <w:rtl/>
          <w:szCs w:val="24"/>
          <w:bCs/>
        </w:rPr>
        <w:t>יחסי מרות</w:t>
      </w:r>
      <w:r>
        <w:rPr>
          <w:sz w:val="24"/>
          <w:rtl/>
          <w:szCs w:val="24"/>
        </w:rPr>
        <w:t xml:space="preserve">. לפי </w:t>
      </w:r>
      <w:r>
        <w:rPr>
          <w:b/>
          <w:sz w:val="24"/>
          <w:rtl/>
          <w:szCs w:val="24"/>
          <w:bCs/>
        </w:rPr>
        <w:t>סעיף 3(א)(6)(ג)</w:t>
      </w:r>
      <w:r>
        <w:rPr>
          <w:sz w:val="24"/>
          <w:rtl/>
          <w:szCs w:val="24"/>
        </w:rPr>
        <w:t>, כאשר ההתייחסויות נעשות תוך ניצול יחסי מרות בעבודה, אין צורך שהמוטרד יראה שאינו מעוניין. ב</w:t>
      </w:r>
      <w:r>
        <w:rPr>
          <w:b/>
          <w:sz w:val="24"/>
          <w:rtl/>
          <w:szCs w:val="24"/>
          <w:bCs/>
        </w:rPr>
        <w:t>עניין מדר</w:t>
      </w:r>
      <w:r>
        <w:rPr>
          <w:vertAlign w:val="superscript"/>
        </w:rPr>
        <w:footnoteReference w:id="12"/>
      </w:r>
      <w:r>
        <w:rPr>
          <w:sz w:val="24"/>
          <w:rtl/>
          <w:szCs w:val="24"/>
        </w:rPr>
        <w:t xml:space="preserve"> נקבע שיחסי מרות התקיימו אף שהמטריד לא היה הממונה הישיר, ושבקשה עמומה להפסיק אינה שוללת את ההטרדה. לדנה אין סמכות לקבל או לפטר, אך היא משפיעה על שיבוץ וקידום עובדים צעירים כמו אורי. לפי הלכת מדר אלה יחסי מרות. חלופה זו מכירה בחולשת הכפוף, העלולה לשלול ממנו רצון חופשי, ומטילה על בעל המרות לזהות בעצמו התנהגות שעלולה להיתפס כמטרידה.</w:t>
      </w:r>
      <w:r>
        <w:rPr>
          <w:vertAlign w:val="superscript"/>
        </w:rPr>
        <w:footnoteReference w:id="13"/>
      </w:r>
      <w:r>
        <w:rPr>
          <w:sz w:val="24"/>
          <w:rtl/>
          <w:szCs w:val="24"/>
        </w:rPr>
        <w:t xml:space="preserve"> לכן השתתפותו של אורי אינה מעידה בהכרח על הסכמה.</w:t>
      </w:r>
    </w:p>
    <w:p>
      <w:pPr>
        <w:bidi/>
        <w:spacing w:before="0" w:after="0"/>
        <w:jc w:val="both"/>
      </w:pPr>
      <w:r>
        <w:rPr>
          <w:sz w:val="24"/>
          <w:rtl/>
          <w:szCs w:val="24"/>
        </w:rPr>
        <w:t xml:space="preserve">עם זאת, גם כשקיימים יחסי מרות נדרשות התייחסויות חוזרות </w:t>
      </w:r>
      <w:r>
        <w:rPr>
          <w:b/>
          <w:sz w:val="24"/>
          <w:rtl/>
          <w:szCs w:val="24"/>
          <w:bCs/>
        </w:rPr>
        <w:t>המתמקדות במיניותו של המוטרד</w:t>
      </w:r>
      <w:r>
        <w:rPr>
          <w:sz w:val="24"/>
          <w:rtl/>
          <w:szCs w:val="24"/>
        </w:rPr>
        <w:t>, ונדרש ש</w:t>
      </w:r>
      <w:r>
        <w:rPr>
          <w:b/>
          <w:sz w:val="24"/>
          <w:rtl/>
          <w:szCs w:val="24"/>
          <w:bCs/>
        </w:rPr>
        <w:t>נוצלו</w:t>
      </w:r>
      <w:r>
        <w:rPr>
          <w:sz w:val="24"/>
          <w:rtl/>
          <w:szCs w:val="24"/>
        </w:rPr>
        <w:t xml:space="preserve"> יחסי המרות. השאלה על נטייתו של אורי נשאלה פעם אחת. רוב השיחות עסקו בחייה של דנה והיו הדדיות, ולכן קשה לבסס כאן הטרדה מינית.</w:t>
      </w:r>
    </w:p>
    <w:p>
      <w:pPr>
        <w:bidi/>
        <w:spacing w:before="120" w:after="0"/>
        <w:jc w:val="both"/>
      </w:pPr>
      <w:r>
        <w:rPr>
          <w:b/>
          <w:sz w:val="24"/>
          <w:rtl/>
          <w:szCs w:val="24"/>
          <w:bCs/>
        </w:rPr>
        <w:t>2. חובות המעסיק והתנכלות</w:t>
      </w:r>
    </w:p>
    <w:p>
      <w:pPr>
        <w:bidi/>
        <w:spacing w:before="0" w:after="0"/>
        <w:jc w:val="both"/>
      </w:pPr>
      <w:r>
        <w:rPr>
          <w:sz w:val="24"/>
          <w:rtl/>
          <w:szCs w:val="24"/>
        </w:rPr>
        <w:t>מעסיק חייב לנקוט אמצעים סבירים למניעת הטרדה מינית ולטפל בכל מקרה (</w:t>
      </w:r>
      <w:r>
        <w:rPr>
          <w:b/>
          <w:sz w:val="24"/>
          <w:rtl/>
          <w:szCs w:val="24"/>
          <w:bCs/>
        </w:rPr>
        <w:t>סעיף 7(א) לחוק</w:t>
      </w:r>
      <w:r>
        <w:rPr>
          <w:sz w:val="24"/>
          <w:rtl/>
          <w:szCs w:val="24"/>
        </w:rPr>
        <w:t xml:space="preserve">). Frame מעסיקה כ-70 עובדים, ולכן עליה גם לפרסם תקנון מותאם ולמנות </w:t>
      </w:r>
      <w:r>
        <w:rPr>
          <w:b/>
          <w:sz w:val="24"/>
          <w:rtl/>
          <w:szCs w:val="24"/>
          <w:bCs/>
        </w:rPr>
        <w:t>אחראי</w:t>
      </w:r>
      <w:r>
        <w:rPr>
          <w:sz w:val="24"/>
          <w:rtl/>
          <w:szCs w:val="24"/>
        </w:rPr>
        <w:t xml:space="preserve"> לבירור תלונות (</w:t>
      </w:r>
      <w:r>
        <w:rPr>
          <w:b/>
          <w:sz w:val="24"/>
          <w:rtl/>
          <w:szCs w:val="24"/>
          <w:bCs/>
        </w:rPr>
        <w:t>סעיף 7(ב)</w:t>
      </w:r>
      <w:r>
        <w:rPr>
          <w:sz w:val="24"/>
          <w:rtl/>
          <w:szCs w:val="24"/>
        </w:rPr>
        <w:t>).</w:t>
      </w:r>
      <w:r>
        <w:rPr>
          <w:vertAlign w:val="superscript"/>
        </w:rPr>
        <w:footnoteReference w:id="14"/>
      </w:r>
    </w:p>
    <w:p>
      <w:pPr>
        <w:bidi/>
        <w:spacing w:before="0" w:after="0"/>
        <w:jc w:val="both"/>
      </w:pPr>
      <w:r>
        <w:rPr>
          <w:b/>
          <w:sz w:val="24"/>
          <w:rtl/>
          <w:szCs w:val="24"/>
          <w:bCs/>
        </w:rPr>
        <w:t>התנכלות</w:t>
      </w:r>
      <w:r>
        <w:rPr>
          <w:sz w:val="24"/>
          <w:rtl/>
          <w:szCs w:val="24"/>
        </w:rPr>
        <w:t xml:space="preserve"> היא פגיעה מכל סוג שמקורה בהטרדה מינית או בתלונה עליה (סעיף 3(ב)). </w:t>
      </w:r>
      <w:r>
        <w:rPr>
          <w:b/>
          <w:sz w:val="24"/>
          <w:rtl/>
          <w:szCs w:val="24"/>
          <w:bCs/>
        </w:rPr>
        <w:t>חוק שוויון ההזדמנויות בעבודה</w:t>
      </w:r>
      <w:r>
        <w:rPr>
          <w:sz w:val="24"/>
          <w:rtl/>
          <w:szCs w:val="24"/>
        </w:rPr>
        <w:t xml:space="preserve"> אוסר על מעסיק לפגוע בעובד כשמקור הפגיעה בהטרדה מינית, וקובע שלעניין זה די ב</w:t>
      </w:r>
      <w:r>
        <w:rPr>
          <w:b/>
          <w:sz w:val="24"/>
          <w:rtl/>
          <w:szCs w:val="24"/>
          <w:bCs/>
        </w:rPr>
        <w:t>התייחסות אחת</w:t>
      </w:r>
      <w:r>
        <w:rPr>
          <w:sz w:val="24"/>
          <w:rtl/>
          <w:szCs w:val="24"/>
        </w:rPr>
        <w:t xml:space="preserve"> לפי סעיף 3(א)(4).</w:t>
      </w:r>
      <w:r>
        <w:rPr>
          <w:vertAlign w:val="superscript"/>
        </w:rPr>
        <w:footnoteReference w:id="15"/>
      </w:r>
      <w:r>
        <w:rPr>
          <w:sz w:val="24"/>
          <w:rtl/>
          <w:szCs w:val="24"/>
        </w:rPr>
        <w:t xml:space="preserve"> אם יוכרו יחסי מרות, גם השאלה הבודדת על נטייתו של אורי עשויה להספיק, והתנכלות אפשרית גם כשהמוטרד שיתף פעולה ולא סירב.</w:t>
      </w:r>
      <w:r>
        <w:rPr>
          <w:vertAlign w:val="superscript"/>
        </w:rPr>
        <w:footnoteReference w:id="16"/>
      </w:r>
      <w:r>
        <w:rPr>
          <w:sz w:val="24"/>
          <w:rtl/>
          <w:szCs w:val="24"/>
        </w:rPr>
        <w:t xml:space="preserve"> העברתו חודש אחרי שביקש לסיים את השיחות, והשפעתה של דנה על השיבוץ, מעוררות חשד לקשר כזה. משהוכיח זאת אורי, עובר למעסיק הנטל להראות שלא פגע בו.</w:t>
      </w:r>
      <w:r>
        <w:rPr>
          <w:vertAlign w:val="superscript"/>
        </w:rPr>
        <w:footnoteReference w:id="17"/>
      </w:r>
    </w:p>
    <w:p>
      <w:pPr>
        <w:bidi/>
        <w:spacing w:before="120" w:after="0"/>
        <w:jc w:val="both"/>
      </w:pPr>
      <w:r>
        <w:rPr>
          <w:b/>
          <w:sz w:val="24"/>
          <w:rtl/>
          <w:szCs w:val="24"/>
          <w:bCs/>
        </w:rPr>
        <w:t>3. הרעת תנאים והתפטרות בדין מפוטר</w:t>
      </w:r>
    </w:p>
    <w:p>
      <w:pPr>
        <w:bidi/>
        <w:spacing w:before="0" w:after="0"/>
        <w:jc w:val="both"/>
      </w:pPr>
      <w:r>
        <w:rPr>
          <w:sz w:val="24"/>
          <w:rtl/>
          <w:szCs w:val="24"/>
        </w:rPr>
        <w:t xml:space="preserve">לפי </w:t>
      </w:r>
      <w:r>
        <w:rPr>
          <w:b/>
          <w:sz w:val="24"/>
          <w:rtl/>
          <w:szCs w:val="24"/>
          <w:bCs/>
        </w:rPr>
        <w:t>הלכת מילפלדר</w:t>
      </w:r>
      <w:r>
        <w:rPr>
          <w:sz w:val="24"/>
          <w:rtl/>
          <w:szCs w:val="24"/>
        </w:rPr>
        <w:t xml:space="preserve"> מעסיק אינו רשאי לשנות את חוזה העבודה באופן חד-צדדי,</w:t>
      </w:r>
      <w:r>
        <w:rPr>
          <w:vertAlign w:val="superscript"/>
        </w:rPr>
        <w:footnoteReference w:id="18"/>
      </w:r>
      <w:r>
        <w:rPr>
          <w:sz w:val="24"/>
          <w:rtl/>
          <w:szCs w:val="24"/>
        </w:rPr>
        <w:t xml:space="preserve"> ושינוי שחורג מה</w:t>
      </w:r>
      <w:r>
        <w:rPr>
          <w:b/>
          <w:sz w:val="24"/>
          <w:rtl/>
          <w:szCs w:val="24"/>
          <w:bCs/>
        </w:rPr>
        <w:t>פררוגטיבה הניהולית</w:t>
      </w:r>
      <w:r>
        <w:rPr>
          <w:sz w:val="24"/>
          <w:rtl/>
          <w:szCs w:val="24"/>
        </w:rPr>
        <w:t xml:space="preserve"> ופוגע ב</w:t>
      </w:r>
      <w:r>
        <w:rPr>
          <w:b/>
          <w:sz w:val="24"/>
          <w:rtl/>
          <w:szCs w:val="24"/>
          <w:bCs/>
        </w:rPr>
        <w:t>מעמד העובד</w:t>
      </w:r>
      <w:r>
        <w:rPr>
          <w:sz w:val="24"/>
          <w:rtl/>
          <w:szCs w:val="24"/>
        </w:rPr>
        <w:t xml:space="preserve"> הוא </w:t>
      </w:r>
      <w:r>
        <w:rPr>
          <w:b/>
          <w:sz w:val="24"/>
          <w:rtl/>
          <w:szCs w:val="24"/>
          <w:bCs/>
        </w:rPr>
        <w:t>הרעת תנאים</w:t>
      </w:r>
      <w:r>
        <w:rPr>
          <w:sz w:val="24"/>
          <w:rtl/>
          <w:szCs w:val="24"/>
        </w:rPr>
        <w:t>.</w:t>
      </w:r>
      <w:r>
        <w:rPr>
          <w:vertAlign w:val="superscript"/>
        </w:rPr>
        <w:footnoteReference w:id="19"/>
      </w:r>
      <w:r>
        <w:rPr>
          <w:sz w:val="24"/>
          <w:rtl/>
          <w:szCs w:val="24"/>
        </w:rPr>
        <w:t xml:space="preserve"> עם זאת, העברה בין תפקידים נחשבת בדרך כלל לחלק מהפררוגטיבה, בכפוף לתום הלב.</w:t>
      </w:r>
      <w:r>
        <w:rPr>
          <w:vertAlign w:val="superscript"/>
        </w:rPr>
        <w:footnoteReference w:id="20"/>
      </w:r>
      <w:r>
        <w:rPr>
          <w:sz w:val="24"/>
          <w:rtl/>
          <w:szCs w:val="24"/>
        </w:rPr>
        <w:t xml:space="preserve"> העברתו של אורי פגעה במעמדו אף ששכרו לא השתנה, ותזמונה מעורר ספק בתום הלב. שינוי ב"תיאור עיקרי התפקיד" מחייב הודעה בכתב בתוך 30 יום, ובהיעדרה הנטל עובר למעסיק.</w:t>
      </w:r>
      <w:r>
        <w:rPr>
          <w:vertAlign w:val="superscript"/>
        </w:rPr>
        <w:footnoteReference w:id="21"/>
      </w:r>
    </w:p>
    <w:p>
      <w:pPr>
        <w:bidi/>
        <w:spacing w:before="0" w:after="0"/>
        <w:jc w:val="both"/>
      </w:pPr>
      <w:r>
        <w:rPr>
          <w:sz w:val="24"/>
          <w:rtl/>
          <w:szCs w:val="24"/>
        </w:rPr>
        <w:t xml:space="preserve">לפי </w:t>
      </w:r>
      <w:r>
        <w:rPr>
          <w:b/>
          <w:sz w:val="24"/>
          <w:rtl/>
          <w:szCs w:val="24"/>
          <w:bCs/>
        </w:rPr>
        <w:t>חוק פיצויי פיטורים</w:t>
      </w:r>
      <w:r>
        <w:rPr>
          <w:sz w:val="24"/>
          <w:rtl/>
          <w:szCs w:val="24"/>
        </w:rPr>
        <w:t xml:space="preserve">, התפטרות מחמת </w:t>
      </w:r>
      <w:r>
        <w:rPr>
          <w:b/>
          <w:sz w:val="24"/>
          <w:rtl/>
          <w:szCs w:val="24"/>
          <w:bCs/>
        </w:rPr>
        <w:t>הרעה מוחשית</w:t>
      </w:r>
      <w:r>
        <w:rPr>
          <w:sz w:val="24"/>
          <w:rtl/>
          <w:szCs w:val="24"/>
        </w:rPr>
        <w:t xml:space="preserve"> בתנאי העבודה, או מחמת "נסיבות אחרות שביחסי עבודה" שבהן אין לדרוש מהעובד להמשיך בעבודתו, נחשבת כפיטורים "לעניין חוק זה".</w:t>
      </w:r>
      <w:r>
        <w:rPr>
          <w:vertAlign w:val="superscript"/>
        </w:rPr>
        <w:footnoteReference w:id="22"/>
      </w:r>
      <w:r>
        <w:rPr>
          <w:sz w:val="24"/>
          <w:rtl/>
          <w:szCs w:val="24"/>
        </w:rPr>
        <w:t xml:space="preserve"> הזכאות עצמה מותנית בשנת עבודה אחת ברציפות אצל אותו מעסיק,</w:t>
      </w:r>
      <w:r>
        <w:rPr>
          <w:vertAlign w:val="superscript"/>
        </w:rPr>
        <w:footnoteReference w:id="23"/>
      </w:r>
      <w:r>
        <w:rPr>
          <w:sz w:val="24"/>
          <w:rtl/>
          <w:szCs w:val="24"/>
        </w:rPr>
        <w:t xml:space="preserve"> ותקופת העסקתו של אורי אינה ידועה.</w:t>
      </w:r>
    </w:p>
    <w:p>
      <w:pPr>
        <w:bidi/>
        <w:spacing w:before="0" w:after="0"/>
        <w:jc w:val="both"/>
      </w:pPr>
      <w:r>
        <w:rPr>
          <w:sz w:val="24"/>
          <w:rtl/>
          <w:szCs w:val="24"/>
        </w:rPr>
        <w:t xml:space="preserve">כדי לממש זכות זו, על העובד לתת למעסיק </w:t>
      </w:r>
      <w:r>
        <w:rPr>
          <w:b/>
          <w:sz w:val="24"/>
          <w:rtl/>
          <w:szCs w:val="24"/>
          <w:bCs/>
        </w:rPr>
        <w:t>התראה</w:t>
      </w:r>
      <w:r>
        <w:rPr>
          <w:sz w:val="24"/>
          <w:rtl/>
          <w:szCs w:val="24"/>
        </w:rPr>
        <w:t xml:space="preserve"> ו</w:t>
      </w:r>
      <w:r>
        <w:rPr>
          <w:b/>
          <w:sz w:val="24"/>
          <w:rtl/>
          <w:szCs w:val="24"/>
          <w:bCs/>
        </w:rPr>
        <w:t>הזדמנות לתקן</w:t>
      </w:r>
      <w:r>
        <w:rPr>
          <w:sz w:val="24"/>
          <w:rtl/>
          <w:szCs w:val="24"/>
        </w:rPr>
        <w:t>, לפעול ב</w:t>
      </w:r>
      <w:r>
        <w:rPr>
          <w:b/>
          <w:sz w:val="24"/>
          <w:rtl/>
          <w:szCs w:val="24"/>
          <w:bCs/>
        </w:rPr>
        <w:t>תום לב</w:t>
      </w:r>
      <w:r>
        <w:rPr>
          <w:sz w:val="24"/>
          <w:rtl/>
          <w:szCs w:val="24"/>
        </w:rPr>
        <w:t xml:space="preserve"> ובלי </w:t>
      </w:r>
      <w:r>
        <w:rPr>
          <w:b/>
          <w:sz w:val="24"/>
          <w:rtl/>
          <w:szCs w:val="24"/>
          <w:bCs/>
        </w:rPr>
        <w:t>שיהוי</w:t>
      </w:r>
      <w:r>
        <w:rPr>
          <w:sz w:val="24"/>
          <w:rtl/>
          <w:szCs w:val="24"/>
        </w:rPr>
        <w:t>. ב</w:t>
      </w:r>
      <w:r>
        <w:rPr>
          <w:b/>
          <w:sz w:val="24"/>
          <w:rtl/>
          <w:szCs w:val="24"/>
          <w:bCs/>
        </w:rPr>
        <w:t>עניין גולן</w:t>
      </w:r>
      <w:r>
        <w:rPr>
          <w:vertAlign w:val="superscript"/>
        </w:rPr>
        <w:footnoteReference w:id="24"/>
      </w:r>
      <w:r>
        <w:rPr>
          <w:sz w:val="24"/>
          <w:rtl/>
          <w:szCs w:val="24"/>
        </w:rPr>
        <w:t xml:space="preserve"> הכיר בית הדין בהרעת תנאים, אך קבע שעובד שהמשיך לעבוד שמונה חודשים בתנאים החדשים הסכים להם בהתנהגותו.</w:t>
      </w:r>
    </w:p>
    <w:p>
      <w:pPr>
        <w:bidi/>
        <w:spacing w:before="0" w:after="0"/>
        <w:jc w:val="both"/>
      </w:pPr>
      <w:r>
        <w:rPr>
          <w:sz w:val="24"/>
          <w:rtl/>
          <w:szCs w:val="24"/>
        </w:rPr>
        <w:t>אורי לא מחה ולא התריע, ועבד ארבעה חודשים במתכונת החדשה, בשונה מהעובד בעניין סלמאן, שהועבר לתפקיד אחר ומחה בכתב על הפחתת שכרו לפני שהתפטר.</w:t>
      </w:r>
      <w:r>
        <w:rPr>
          <w:vertAlign w:val="superscript"/>
        </w:rPr>
        <w:footnoteReference w:id="25"/>
      </w:r>
      <w:r>
        <w:rPr>
          <w:sz w:val="24"/>
          <w:rtl/>
          <w:szCs w:val="24"/>
        </w:rPr>
        <w:t xml:space="preserve"> שתיקתו מלמדת על השלמה.</w:t>
      </w:r>
    </w:p>
    <w:p>
      <w:pPr>
        <w:bidi/>
        <w:spacing w:before="0" w:after="0"/>
        <w:jc w:val="both"/>
      </w:pPr>
      <w:r>
        <w:rPr>
          <w:b/>
          <w:sz w:val="24"/>
          <w:rtl/>
          <w:szCs w:val="24"/>
          <w:bCs/>
        </w:rPr>
        <w:t>לסיכום</w:t>
      </w:r>
      <w:r>
        <w:rPr>
          <w:sz w:val="24"/>
          <w:rtl/>
          <w:szCs w:val="24"/>
        </w:rPr>
        <w:t>, טענת ההטרדה המינית חלשה, טענת ההתנכלות חזקה יותר, וטענת ההתפטרות בדין מפוטר נכשלת בשל היעדר התראה ושיהוי.</w:t>
      </w:r>
    </w:p>
    <w:p>
      <w:pPr>
        <w:pageBreakBefore/>
        <w:bidi/>
        <w:spacing w:before="0" w:after="120"/>
        <w:jc w:val="center"/>
      </w:pPr>
      <w:r>
        <w:rPr>
          <w:b/>
          <w:sz w:val="28"/>
          <w:rtl/>
          <w:szCs w:val="28"/>
          <w:bCs/>
        </w:rPr>
        <w:t>רשימת מקורות</w:t>
      </w:r>
    </w:p>
    <w:p>
      <w:pPr>
        <w:bidi/>
        <w:spacing w:before="120" w:after="0"/>
        <w:jc w:val="both"/>
      </w:pPr>
      <w:r>
        <w:rPr>
          <w:b/>
          <w:sz w:val="24"/>
          <w:rtl/>
          <w:szCs w:val="24"/>
          <w:bCs/>
        </w:rPr>
        <w:t>חקיקה</w:t>
      </w:r>
    </w:p>
    <w:p>
      <w:pPr>
        <w:bidi/>
        <w:spacing w:before="0" w:after="0"/>
        <w:jc w:val="both"/>
      </w:pPr>
      <w:r>
        <w:rPr>
          <w:sz w:val="24"/>
          <w:rtl/>
          <w:szCs w:val="24"/>
        </w:rPr>
        <w:t>חוק הודעה לעובד ולמועמד לעבודה (תנאי עבודה והליכי מיון וקבלה לעבודה), התשס"ב–2002.</w:t>
      </w:r>
    </w:p>
    <w:p>
      <w:pPr>
        <w:bidi/>
        <w:spacing w:before="0" w:after="0"/>
        <w:jc w:val="both"/>
      </w:pPr>
      <w:r>
        <w:rPr>
          <w:sz w:val="24"/>
          <w:rtl/>
          <w:szCs w:val="24"/>
        </w:rPr>
        <w:t>חוק הסכמים קיבוציים, התשי"ז–1957.</w:t>
      </w:r>
    </w:p>
    <w:p>
      <w:pPr>
        <w:bidi/>
        <w:spacing w:before="0" w:after="0"/>
        <w:jc w:val="both"/>
      </w:pPr>
      <w:r>
        <w:rPr>
          <w:sz w:val="24"/>
          <w:rtl/>
          <w:szCs w:val="24"/>
        </w:rPr>
        <w:t>חוק למניעת הטרדה מינית, התשנ"ח–1998.</w:t>
      </w:r>
    </w:p>
    <w:p>
      <w:pPr>
        <w:bidi/>
        <w:spacing w:before="0" w:after="0"/>
        <w:jc w:val="both"/>
      </w:pPr>
      <w:r>
        <w:rPr>
          <w:sz w:val="24"/>
          <w:rtl/>
          <w:szCs w:val="24"/>
        </w:rPr>
        <w:t>חוק פיצויי פיטורים, התשכ"ג–1963.</w:t>
      </w:r>
    </w:p>
    <w:p>
      <w:pPr>
        <w:bidi/>
        <w:spacing w:before="0" w:after="0"/>
        <w:jc w:val="both"/>
      </w:pPr>
      <w:r>
        <w:rPr>
          <w:sz w:val="24"/>
          <w:rtl/>
          <w:szCs w:val="24"/>
        </w:rPr>
        <w:t>חוק שוויון ההזדמנויות בעבודה, התשמ"ח–1988.</w:t>
      </w:r>
    </w:p>
    <w:p>
      <w:pPr>
        <w:bidi/>
        <w:spacing w:before="0" w:after="0"/>
        <w:jc w:val="both"/>
      </w:pPr>
      <w:r>
        <w:rPr>
          <w:sz w:val="24"/>
          <w:rtl/>
          <w:szCs w:val="24"/>
        </w:rPr>
        <w:t>תקנות למניעת הטרדה מינית (חובות מעסיק), התשנ"ח–1998.</w:t>
      </w:r>
    </w:p>
    <w:p>
      <w:pPr>
        <w:bidi/>
        <w:spacing w:before="120" w:after="0"/>
        <w:jc w:val="both"/>
      </w:pPr>
      <w:r>
        <w:rPr>
          <w:b/>
          <w:sz w:val="24"/>
          <w:rtl/>
          <w:szCs w:val="24"/>
          <w:bCs/>
        </w:rPr>
        <w:t>פסיקה</w:t>
      </w:r>
    </w:p>
    <w:p>
      <w:pPr>
        <w:bidi/>
        <w:spacing w:before="0" w:after="0"/>
        <w:jc w:val="both"/>
      </w:pPr>
      <w:r>
        <w:rPr>
          <w:sz w:val="24"/>
          <w:rtl/>
          <w:szCs w:val="24"/>
        </w:rPr>
        <w:t>בג"ץ 239/83 מילפלדר נ' בית הדין הארצי לעבודה, פ"ד מא(2) 210 (1987).</w:t>
      </w:r>
    </w:p>
    <w:p>
      <w:pPr>
        <w:bidi/>
        <w:spacing w:before="0" w:after="0"/>
        <w:jc w:val="both"/>
      </w:pPr>
      <w:r>
        <w:rPr>
          <w:sz w:val="24"/>
          <w:rtl/>
          <w:szCs w:val="24"/>
        </w:rPr>
        <w:t>בג"ץ 7029/95 הסתדרות העובדים הכללית החדשה נ' בית הדין הארצי לעבודה, פ"ד נא(2) 63 (1997).</w:t>
      </w:r>
    </w:p>
    <w:p>
      <w:pPr>
        <w:bidi/>
        <w:spacing w:before="0" w:after="0"/>
        <w:jc w:val="both"/>
      </w:pPr>
      <w:r>
        <w:rPr>
          <w:sz w:val="24"/>
          <w:rtl/>
          <w:szCs w:val="24"/>
        </w:rPr>
        <w:t>עס"ק (ארצי) 6298-03-25 הסתדרות העובדים הכללית החדשה – האגף להתאגדות עובדים נ' ארגון עובדי הפיתוח והשיווק בנוקיה ישראל (נבו 10.6.2025).</w:t>
      </w:r>
    </w:p>
    <w:p>
      <w:pPr>
        <w:bidi/>
        <w:spacing w:before="0" w:after="0"/>
        <w:jc w:val="both"/>
      </w:pPr>
      <w:r>
        <w:rPr>
          <w:sz w:val="24"/>
          <w:rtl/>
          <w:szCs w:val="24"/>
        </w:rPr>
        <w:t>עס"ק (ארצי) 25476-09-12 הסתדרות העובדים הכללית החדשה נ' פלאפון תקשורת בע"מ (נבו 2.1.2013).</w:t>
      </w:r>
    </w:p>
    <w:p>
      <w:pPr>
        <w:bidi/>
        <w:spacing w:before="0" w:after="0"/>
        <w:jc w:val="both"/>
      </w:pPr>
      <w:r>
        <w:rPr>
          <w:sz w:val="24"/>
          <w:rtl/>
          <w:szCs w:val="24"/>
        </w:rPr>
        <w:t>עס"ק (ארצי) 7670-10-20 דור אלון ניהול מתחמים קמעונאיים בע"מ נ' הסתדרות העובדים הלאומית בישראל (12.1.2021).</w:t>
      </w:r>
    </w:p>
    <w:p>
      <w:pPr>
        <w:bidi/>
        <w:spacing w:before="0" w:after="0"/>
        <w:jc w:val="both"/>
      </w:pPr>
      <w:r>
        <w:rPr>
          <w:sz w:val="24"/>
          <w:rtl/>
          <w:szCs w:val="24"/>
        </w:rPr>
        <w:t>עש"ם 2203/05 מדר נ' נציבות שירות המדינה (נבו 21.7.2005).</w:t>
      </w:r>
    </w:p>
    <w:p>
      <w:pPr>
        <w:bidi/>
        <w:spacing w:before="0" w:after="0"/>
        <w:jc w:val="both"/>
      </w:pPr>
      <w:r>
        <w:rPr>
          <w:sz w:val="24"/>
          <w:rtl/>
          <w:szCs w:val="24"/>
        </w:rPr>
        <w:t>תב"ע (ארצי) נד/86-3 יוחנן גולן נ' אי.אל.די. בע"מ.</w:t>
      </w:r>
    </w:p>
    <w:p>
      <w:pPr>
        <w:bidi/>
        <w:spacing w:before="0" w:after="0"/>
        <w:jc w:val="both"/>
      </w:pPr>
      <w:r>
        <w:rPr>
          <w:sz w:val="24"/>
          <w:rtl/>
          <w:szCs w:val="24"/>
        </w:rPr>
        <w:t>ע"ע (ארצי) 28475-03-20 סלמאן נ' אקובג בע"מ (נבו 7.12.2020).</w:t>
      </w:r>
    </w:p>
    <w:p>
      <w:pPr>
        <w:bidi/>
        <w:spacing w:before="120" w:after="0"/>
        <w:jc w:val="both"/>
      </w:pPr>
      <w:r>
        <w:rPr>
          <w:b/>
          <w:sz w:val="24"/>
          <w:rtl/>
          <w:szCs w:val="24"/>
          <w:bCs/>
        </w:rPr>
        <w:t>ספרות וחומרי הקורס</w:t>
      </w:r>
    </w:p>
    <w:p>
      <w:pPr>
        <w:bidi/>
        <w:spacing w:before="0" w:after="0"/>
        <w:jc w:val="both"/>
      </w:pPr>
      <w:r>
        <w:rPr>
          <w:sz w:val="24"/>
          <w:rtl/>
          <w:szCs w:val="24"/>
        </w:rPr>
        <w:t>ניצן צבי כהן "בית הדין קבע: ההסתדרות תשמש כארגון העובדים היציג בחברת נוקיה" דבר 10.6.2025.</w:t>
      </w:r>
    </w:p>
    <w:p>
      <w:pPr>
        <w:bidi/>
        <w:spacing w:before="0" w:after="0"/>
        <w:jc w:val="both"/>
      </w:pPr>
      <w:r>
        <w:rPr>
          <w:sz w:val="24"/>
          <w:rtl/>
          <w:szCs w:val="24"/>
        </w:rPr>
        <w:t>גיא דוידוב "הפררוגטיבה של המעביד ודיני החוזים: בעקבות פרשות נהרי וגרינשפן" משפטים לח(2) 417 (2008).</w:t>
      </w:r>
    </w:p>
    <w:p>
      <w:pPr>
        <w:bidi/>
        <w:spacing w:before="0" w:after="0"/>
        <w:jc w:val="both"/>
      </w:pPr>
      <w:r>
        <w:rPr>
          <w:sz w:val="24"/>
          <w:rtl/>
          <w:szCs w:val="24"/>
        </w:rPr>
        <w:t>עצמון ליפשיץ "האם הגיעה העת לשנות את כללי ההתארגנות הראשונית? מחשבות נוספות בראי הזמן" מעשי משפט יא 303 (2020).</w:t>
      </w:r>
    </w:p>
    <w:p>
      <w:pPr>
        <w:bidi/>
        <w:spacing w:before="0" w:after="0"/>
        <w:jc w:val="both"/>
      </w:pPr>
      <w:r>
        <w:rPr>
          <w:sz w:val="24"/>
          <w:rtl/>
          <w:szCs w:val="24"/>
        </w:rPr>
        <w:t>Orit Kamir, __Sexual Harassment Law in Israel__, 7 INT'L J. DISCRIMINATION &amp; L. 315 (2005).</w:t>
      </w:r>
    </w:p>
    <w:p>
      <w:pPr>
        <w:bidi/>
        <w:spacing w:before="0" w:after="0"/>
        <w:jc w:val="both"/>
      </w:pPr>
      <w:r>
        <w:rPr>
          <w:sz w:val="24"/>
          <w:rtl/>
          <w:szCs w:val="24"/>
        </w:rPr>
        <w:t>רות בן-ישראל דיני עבודה כרך א 48-32 (2002).</w:t>
      </w:r>
    </w:p>
    <w:p>
      <w:pPr>
        <w:bidi/>
        <w:spacing w:before="0" w:after="0"/>
        <w:jc w:val="both"/>
      </w:pPr>
      <w:r>
        <w:rPr>
          <w:sz w:val="24"/>
          <w:rtl/>
          <w:szCs w:val="24"/>
        </w:rPr>
        <w:t>גליה הילדסהימר "התארגנויות עובדים" מצגת הקורס היבטים משפטיים ואתיים בייעוץ ופיתוח ארגוני, המרכז האקדמי פרס (2026).</w:t>
      </w:r>
    </w:p>
    <w:p>
      <w:pPr>
        <w:bidi/>
        <w:spacing w:before="0" w:after="0"/>
        <w:jc w:val="both"/>
      </w:pPr>
      <w:r>
        <w:rPr>
          <w:sz w:val="24"/>
          <w:rtl/>
          <w:szCs w:val="24"/>
        </w:rPr>
        <w:t>גליה הילדסהימר "החוק למניעת הטרדה מינית, חלקים א'-ב'" מצגת הקורס היבטים משפטיים ואתיים בייעוץ ופיתוח ארגוני, המרכז האקדמי פרס (2026).</w:t>
      </w:r>
    </w:p>
    <w:p>
      <w:pPr>
        <w:bidi/>
        <w:spacing w:before="0" w:after="0"/>
        <w:jc w:val="both"/>
      </w:pPr>
      <w:r>
        <w:rPr>
          <w:sz w:val="24"/>
          <w:rtl/>
          <w:szCs w:val="24"/>
        </w:rPr>
        <w:t>גליה הילדסהימר "חוזה עבודה אישי ומניעת הרעת תנאים, חלקים א'-ב'" מצגת הקורס היבטים משפטיים ואתיים בייעוץ ופיתוח ארגוני, המרכז האקדמי פרס (2026).</w:t>
      </w:r>
    </w:p>
    <w:sectPr w:rsidR="00FC693F" w:rsidRPr="0006063C" w:rsidSect="00034616">
      <w:pgSz w:w="11906" w:h="16838"/>
      <w:pgMar w:top="1417" w:right="1417" w:bottom="1417" w:left="1417"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w:footnote w:type="separator" w:id="-1">
    <w:p>
      <w:pPr>
        <w:spacing w:after="0" w:line="240" w:lineRule="auto"/>
      </w:pPr>
      <w:r>
        <w:separator/>
      </w:r>
    </w:p>
  </w:footnote>
  <w:footnote w:type="continuationSeparator" w:id="0">
    <w:p>
      <w:pPr>
        <w:spacing w:after="0" w:line="240" w:lineRule="auto"/>
      </w:pPr>
      <w:r>
        <w:continuationSeparator/>
      </w:r>
    </w:p>
  </w:footnote>
  <w:footnote w:id="1">
    <w:p>
      <w:pPr>
        <w:bidi/>
        <w:spacing w:before="0" w:after="0" w:line="240" w:lineRule="auto"/>
        <w:jc w:val="both"/>
      </w:pPr>
      <w:r>
        <w:rPr>
          <w:vertAlign w:val="superscript"/>
          <w:sz w:val="20"/>
        </w:rPr>
        <w:footnoteRef/>
      </w:r>
      <w:r>
        <w:rPr>
          <w:sz w:val="20"/>
        </w:rPr>
        <w:t xml:space="preserve"> </w:t>
      </w:r>
      <w:r>
        <w:rPr>
          <w:rtl/>
          <w:sz w:val="20"/>
          <w:szCs w:val="20"/>
        </w:rPr>
        <w:t xml:space="preserve">רות בן-ישראל דיני עבודה כרך א 48-32 (2002); עצמון ליפשיץ "האם הגיעה העת לשנות את כללי ההתארגנות הראשונית? מחשבות נוספות בראי הזמן" מעשי משפט יא 303, 308 (2020); עס"ק (ארצי) 7670-10-20 דור אלון ניהול מתחמים קמעונאיים בע"מ נ' הסתדרות העובדים הלאומית בישראל, פס' 70 (12.1.2021) (להלן: עניין דור אלון); גליה הילדסהימר "התארגנויות עובדים" מצגת הקורס היבטים משפטיים ואתיים בייעוץ ופיתוח ארגוני, המרכז האקדמי פרס (2026).</w:t>
      </w:r>
    </w:p>
  </w:footnote>
  <w:footnote w:id="2">
    <w:p>
      <w:pPr>
        <w:bidi/>
        <w:spacing w:before="0" w:after="0" w:line="240" w:lineRule="auto"/>
        <w:jc w:val="both"/>
      </w:pPr>
      <w:r>
        <w:rPr>
          <w:vertAlign w:val="superscript"/>
          <w:sz w:val="20"/>
        </w:rPr>
        <w:footnoteRef/>
      </w:r>
      <w:r>
        <w:rPr>
          <w:sz w:val="20"/>
        </w:rPr>
        <w:t xml:space="preserve"> </w:t>
      </w:r>
      <w:r>
        <w:rPr>
          <w:rtl/>
          <w:sz w:val="20"/>
          <w:szCs w:val="20"/>
        </w:rPr>
        <w:t xml:space="preserve">ס' 33ח לחוק הסכמים קיבוציים, התשי"ז–1957 (להלן: חוק הסכמים קיבוציים).</w:t>
      </w:r>
    </w:p>
  </w:footnote>
  <w:footnote w:id="3">
    <w:p>
      <w:pPr>
        <w:bidi/>
        <w:spacing w:before="0" w:after="0" w:line="240" w:lineRule="auto"/>
        <w:jc w:val="both"/>
      </w:pPr>
      <w:r>
        <w:rPr>
          <w:vertAlign w:val="superscript"/>
          <w:sz w:val="20"/>
        </w:rPr>
        <w:footnoteRef/>
      </w:r>
      <w:r>
        <w:rPr>
          <w:sz w:val="20"/>
        </w:rPr>
        <w:t xml:space="preserve"> </w:t>
      </w:r>
      <w:r>
        <w:rPr>
          <w:rtl/>
          <w:sz w:val="20"/>
          <w:szCs w:val="20"/>
        </w:rPr>
        <w:t xml:space="preserve">בג"ץ 7029/95 הסתדרות העובדים הכללית החדשה נ' בית הדין הארצי לעבודה, פ"ד נא(2) 63 (1997) (להלן: עניין עמית).</w:t>
      </w:r>
    </w:p>
  </w:footnote>
  <w:footnote w:id="4">
    <w:p>
      <w:pPr>
        <w:bidi/>
        <w:spacing w:before="0" w:after="0" w:line="240" w:lineRule="auto"/>
        <w:jc w:val="both"/>
      </w:pPr>
      <w:r>
        <w:rPr>
          <w:vertAlign w:val="superscript"/>
          <w:sz w:val="20"/>
        </w:rPr>
        <w:footnoteRef/>
      </w:r>
      <w:r>
        <w:rPr>
          <w:sz w:val="20"/>
        </w:rPr>
        <w:t xml:space="preserve"> </w:t>
      </w:r>
      <w:r>
        <w:rPr>
          <w:rtl/>
          <w:sz w:val="20"/>
          <w:szCs w:val="20"/>
        </w:rPr>
        <w:t xml:space="preserve">עס"ק (ארצי) 6298-03-25 הסתדרות העובדים הכללית החדשה – האגף להתאגדות עובדים נ' ארגון עובדי הפיתוח והשיווק בנוקיה ישראל (נבו 10.6.2025) (להלן: עניין נוקיה), פס' 6, 41 ו-44.</w:t>
      </w:r>
    </w:p>
  </w:footnote>
  <w:footnote w:id="5">
    <w:p>
      <w:pPr>
        <w:bidi/>
        <w:spacing w:before="0" w:after="0" w:line="240" w:lineRule="auto"/>
        <w:jc w:val="both"/>
      </w:pPr>
      <w:r>
        <w:rPr>
          <w:vertAlign w:val="superscript"/>
          <w:sz w:val="20"/>
        </w:rPr>
        <w:footnoteRef/>
      </w:r>
      <w:r>
        <w:rPr>
          <w:sz w:val="20"/>
        </w:rPr>
        <w:t xml:space="preserve"> </w:t>
      </w:r>
      <w:r>
        <w:rPr>
          <w:rtl/>
          <w:sz w:val="20"/>
          <w:szCs w:val="20"/>
        </w:rPr>
        <w:t xml:space="preserve">שם, פס' 50-51.</w:t>
      </w:r>
    </w:p>
  </w:footnote>
  <w:footnote w:id="6">
    <w:p>
      <w:pPr>
        <w:bidi/>
        <w:spacing w:before="0" w:after="0" w:line="240" w:lineRule="auto"/>
        <w:jc w:val="both"/>
      </w:pPr>
      <w:r>
        <w:rPr>
          <w:vertAlign w:val="superscript"/>
          <w:sz w:val="20"/>
        </w:rPr>
        <w:footnoteRef/>
      </w:r>
      <w:r>
        <w:rPr>
          <w:sz w:val="20"/>
        </w:rPr>
        <w:t xml:space="preserve"> </w:t>
      </w:r>
      <w:r>
        <w:rPr>
          <w:rtl/>
          <w:sz w:val="20"/>
          <w:szCs w:val="20"/>
        </w:rPr>
        <w:t xml:space="preserve">שם, כפי שצוטט אצל ניצן צבי כהן "בית הדין קבע: ההסתדרות תשמש כארגון העובדים היציג בחברת נוקיה" דבר 10.6.2025.</w:t>
      </w:r>
    </w:p>
  </w:footnote>
  <w:footnote w:id="7">
    <w:p>
      <w:pPr>
        <w:bidi/>
        <w:spacing w:before="0" w:after="0" w:line="240" w:lineRule="auto"/>
        <w:jc w:val="both"/>
      </w:pPr>
      <w:r>
        <w:rPr>
          <w:vertAlign w:val="superscript"/>
          <w:sz w:val="20"/>
        </w:rPr>
        <w:footnoteRef/>
      </w:r>
      <w:r>
        <w:rPr>
          <w:sz w:val="20"/>
        </w:rPr>
        <w:t xml:space="preserve"> </w:t>
      </w:r>
      <w:r>
        <w:rPr>
          <w:rtl/>
          <w:sz w:val="20"/>
          <w:szCs w:val="20"/>
        </w:rPr>
        <w:t xml:space="preserve">עניין נוקיה, לעיל ה"ש 4, פס' 47.</w:t>
      </w:r>
    </w:p>
  </w:footnote>
  <w:footnote w:id="8">
    <w:p>
      <w:pPr>
        <w:bidi/>
        <w:spacing w:before="0" w:after="0" w:line="240" w:lineRule="auto"/>
        <w:jc w:val="both"/>
      </w:pPr>
      <w:r>
        <w:rPr>
          <w:vertAlign w:val="superscript"/>
          <w:sz w:val="20"/>
        </w:rPr>
        <w:footnoteRef/>
      </w:r>
      <w:r>
        <w:rPr>
          <w:sz w:val="20"/>
        </w:rPr>
        <w:t xml:space="preserve"> </w:t>
      </w:r>
      <w:r>
        <w:rPr>
          <w:rtl/>
          <w:sz w:val="20"/>
          <w:szCs w:val="20"/>
        </w:rPr>
        <w:t xml:space="preserve">עס"ק (ארצי) 25476-09-12 הסתדרות העובדים הכללית החדשה נ' פלאפון תקשורת בע"מ (נבו 2.1.2013) (להלן: עניין פלאפון).</w:t>
      </w:r>
    </w:p>
  </w:footnote>
  <w:footnote w:id="9">
    <w:p>
      <w:pPr>
        <w:bidi/>
        <w:spacing w:before="0" w:after="0" w:line="240" w:lineRule="auto"/>
        <w:jc w:val="both"/>
      </w:pPr>
      <w:r>
        <w:rPr>
          <w:vertAlign w:val="superscript"/>
          <w:sz w:val="20"/>
        </w:rPr>
        <w:footnoteRef/>
      </w:r>
      <w:r>
        <w:rPr>
          <w:sz w:val="20"/>
        </w:rPr>
        <w:t xml:space="preserve"> </w:t>
      </w:r>
      <w:r>
        <w:rPr>
          <w:rtl/>
          <w:sz w:val="20"/>
          <w:szCs w:val="20"/>
        </w:rPr>
        <w:t xml:space="preserve">בג"ץ 4179/13 לשכת התיאום של הארגונים הכלכליים נ' בית הדין הארצי לעבודה (נבו 7.7.2014); ליפשיץ, לעיל ה"ש 1, בעמ' 320. על הרגישות המיוחדת של שלב הפריצה בשל החשש מהתערבות המעסיק ראו עניין דור אלון, לעיל ה"ש 1, פס' 71.</w:t>
      </w:r>
    </w:p>
  </w:footnote>
  <w:footnote w:id="10">
    <w:p>
      <w:pPr>
        <w:bidi/>
        <w:spacing w:before="0" w:after="0" w:line="240" w:lineRule="auto"/>
        <w:jc w:val="both"/>
      </w:pPr>
      <w:r>
        <w:rPr>
          <w:vertAlign w:val="superscript"/>
          <w:sz w:val="20"/>
        </w:rPr>
        <w:footnoteRef/>
      </w:r>
      <w:r>
        <w:rPr>
          <w:sz w:val="20"/>
        </w:rPr>
        <w:t xml:space="preserve"> </w:t>
      </w:r>
      <w:r>
        <w:rPr>
          <w:rtl/>
          <w:sz w:val="20"/>
          <w:szCs w:val="20"/>
        </w:rPr>
        <w:t xml:space="preserve">ס' 1 לחוק למניעת הטרדה מינית, התשנ"ח–1998 (להלן: החוק למניעת הטרדה מינית); גליה הילדסהימר "החוק למניעת הטרדה מינית, חלקים א'-ב'" מצגת הקורס היבטים משפטיים ואתיים בייעוץ ופיתוח ארגוני, המרכז האקדמי פרס (2026).</w:t>
      </w:r>
    </w:p>
  </w:footnote>
  <w:footnote w:id="11">
    <w:p>
      <w:pPr>
        <w:bidi/>
        <w:spacing w:before="0" w:after="0" w:line="240" w:lineRule="auto"/>
        <w:jc w:val="both"/>
      </w:pPr>
      <w:r>
        <w:rPr>
          <w:vertAlign w:val="superscript"/>
          <w:sz w:val="20"/>
        </w:rPr>
        <w:footnoteRef/>
      </w:r>
      <w:r>
        <w:rPr>
          <w:sz w:val="20"/>
        </w:rPr>
        <w:t xml:space="preserve"> </w:t>
      </w:r>
      <w:r>
        <w:rPr>
          <w:rtl/>
          <w:sz w:val="20"/>
          <w:szCs w:val="20"/>
        </w:rPr>
        <w:t xml:space="preserve">Orit Kamir, </w:t>
      </w:r>
      <w:r>
        <w:rPr>
          <w:i/>
          <w:iCs/>
          <w:sz w:val="20"/>
          <w:szCs w:val="20"/>
        </w:rPr>
        <w:t xml:space="preserve">Sexual Harassment Law in Israel</w:t>
      </w:r>
      <w:r>
        <w:rPr>
          <w:rtl/>
          <w:sz w:val="20"/>
          <w:szCs w:val="20"/>
        </w:rPr>
        <w:t xml:space="preserve">, 7 INT'L J. DISCRIMINATION &amp; L. 315, 321 (2005).</w:t>
      </w:r>
    </w:p>
  </w:footnote>
  <w:footnote w:id="12">
    <w:p>
      <w:pPr>
        <w:bidi/>
        <w:spacing w:before="0" w:after="0" w:line="240" w:lineRule="auto"/>
        <w:jc w:val="both"/>
      </w:pPr>
      <w:r>
        <w:rPr>
          <w:vertAlign w:val="superscript"/>
          <w:sz w:val="20"/>
        </w:rPr>
        <w:footnoteRef/>
      </w:r>
      <w:r>
        <w:rPr>
          <w:sz w:val="20"/>
        </w:rPr>
        <w:t xml:space="preserve"> </w:t>
      </w:r>
      <w:r>
        <w:rPr>
          <w:rtl/>
          <w:sz w:val="20"/>
          <w:szCs w:val="20"/>
        </w:rPr>
        <w:t xml:space="preserve">עש"ם 2203/05 מדר נ' נציבות שירות המדינה (נבו 21.7.2005) (להלן: עניין מדר).</w:t>
      </w:r>
    </w:p>
  </w:footnote>
  <w:footnote w:id="13">
    <w:p>
      <w:pPr>
        <w:bidi/>
        <w:spacing w:before="0" w:after="0" w:line="240" w:lineRule="auto"/>
        <w:jc w:val="both"/>
      </w:pPr>
      <w:r>
        <w:rPr>
          <w:vertAlign w:val="superscript"/>
          <w:sz w:val="20"/>
        </w:rPr>
        <w:footnoteRef/>
      </w:r>
      <w:r>
        <w:rPr>
          <w:sz w:val="20"/>
        </w:rPr>
        <w:t xml:space="preserve"> </w:t>
      </w:r>
      <w:r>
        <w:rPr>
          <w:rtl/>
          <w:sz w:val="20"/>
          <w:szCs w:val="20"/>
        </w:rPr>
        <w:t xml:space="preserve">Kamir, לעיל ה"ש 11, בעמ' 324.</w:t>
      </w:r>
    </w:p>
  </w:footnote>
  <w:footnote w:id="14">
    <w:p>
      <w:pPr>
        <w:bidi/>
        <w:spacing w:before="0" w:after="0" w:line="240" w:lineRule="auto"/>
        <w:jc w:val="both"/>
      </w:pPr>
      <w:r>
        <w:rPr>
          <w:vertAlign w:val="superscript"/>
          <w:sz w:val="20"/>
        </w:rPr>
        <w:footnoteRef/>
      </w:r>
      <w:r>
        <w:rPr>
          <w:sz w:val="20"/>
        </w:rPr>
        <w:t xml:space="preserve"> </w:t>
      </w:r>
      <w:r>
        <w:rPr>
          <w:rtl/>
          <w:sz w:val="20"/>
          <w:szCs w:val="20"/>
        </w:rPr>
        <w:t xml:space="preserve">תק' 2(ג), 4, 6(ט) ו-8 לתקנות למניעת הטרדה מינית (חובות מעסיק), התשנ"ח–1998.</w:t>
      </w:r>
    </w:p>
  </w:footnote>
  <w:footnote w:id="15">
    <w:p>
      <w:pPr>
        <w:bidi/>
        <w:spacing w:before="0" w:after="0" w:line="240" w:lineRule="auto"/>
        <w:jc w:val="both"/>
      </w:pPr>
      <w:r>
        <w:rPr>
          <w:vertAlign w:val="superscript"/>
          <w:sz w:val="20"/>
        </w:rPr>
        <w:footnoteRef/>
      </w:r>
      <w:r>
        <w:rPr>
          <w:sz w:val="20"/>
        </w:rPr>
        <w:t xml:space="preserve"> </w:t>
      </w:r>
      <w:r>
        <w:rPr>
          <w:rtl/>
          <w:sz w:val="20"/>
          <w:szCs w:val="20"/>
        </w:rPr>
        <w:t xml:space="preserve">ס' 7(א) לחוק שוויון ההזדמנויות בעבודה, התשמ"ח–1988.</w:t>
      </w:r>
    </w:p>
  </w:footnote>
  <w:footnote w:id="16">
    <w:p>
      <w:pPr>
        <w:bidi/>
        <w:spacing w:before="0" w:after="0" w:line="240" w:lineRule="auto"/>
        <w:jc w:val="both"/>
      </w:pPr>
      <w:r>
        <w:rPr>
          <w:vertAlign w:val="superscript"/>
          <w:sz w:val="20"/>
        </w:rPr>
        <w:footnoteRef/>
      </w:r>
      <w:r>
        <w:rPr>
          <w:sz w:val="20"/>
        </w:rPr>
        <w:t xml:space="preserve"> </w:t>
      </w:r>
      <w:r>
        <w:rPr>
          <w:rtl/>
          <w:sz w:val="20"/>
          <w:szCs w:val="20"/>
        </w:rPr>
        <w:t xml:space="preserve">Kamir, לעיל ה"ש 11, בעמ' 324.</w:t>
      </w:r>
    </w:p>
  </w:footnote>
  <w:footnote w:id="17">
    <w:p>
      <w:pPr>
        <w:bidi/>
        <w:spacing w:before="0" w:after="0" w:line="240" w:lineRule="auto"/>
        <w:jc w:val="both"/>
      </w:pPr>
      <w:r>
        <w:rPr>
          <w:vertAlign w:val="superscript"/>
          <w:sz w:val="20"/>
        </w:rPr>
        <w:footnoteRef/>
      </w:r>
      <w:r>
        <w:rPr>
          <w:sz w:val="20"/>
        </w:rPr>
        <w:t xml:space="preserve"> </w:t>
      </w:r>
      <w:r>
        <w:rPr>
          <w:rtl/>
          <w:sz w:val="20"/>
          <w:szCs w:val="20"/>
        </w:rPr>
        <w:t xml:space="preserve">ס' 9(ב) לחוק שוויון ההזדמנויות בעבודה; ס' 6א לחוק למניעת הטרדה מינית.</w:t>
      </w:r>
    </w:p>
  </w:footnote>
  <w:footnote w:id="18">
    <w:p>
      <w:pPr>
        <w:bidi/>
        <w:spacing w:before="0" w:after="0" w:line="240" w:lineRule="auto"/>
        <w:jc w:val="both"/>
      </w:pPr>
      <w:r>
        <w:rPr>
          <w:vertAlign w:val="superscript"/>
          <w:sz w:val="20"/>
        </w:rPr>
        <w:footnoteRef/>
      </w:r>
      <w:r>
        <w:rPr>
          <w:sz w:val="20"/>
        </w:rPr>
        <w:t xml:space="preserve"> </w:t>
      </w:r>
      <w:r>
        <w:rPr>
          <w:rtl/>
          <w:sz w:val="20"/>
          <w:szCs w:val="20"/>
        </w:rPr>
        <w:t xml:space="preserve">בג"ץ 239/83 מילפלדר נ' בית הדין הארצי לעבודה, פ"ד מא(2) 210 (1987).</w:t>
      </w:r>
    </w:p>
  </w:footnote>
  <w:footnote w:id="19">
    <w:p>
      <w:pPr>
        <w:bidi/>
        <w:spacing w:before="0" w:after="0" w:line="240" w:lineRule="auto"/>
        <w:jc w:val="both"/>
      </w:pPr>
      <w:r>
        <w:rPr>
          <w:vertAlign w:val="superscript"/>
          <w:sz w:val="20"/>
        </w:rPr>
        <w:footnoteRef/>
      </w:r>
      <w:r>
        <w:rPr>
          <w:sz w:val="20"/>
        </w:rPr>
        <w:t xml:space="preserve"> </w:t>
      </w:r>
      <w:r>
        <w:rPr>
          <w:rtl/>
          <w:sz w:val="20"/>
          <w:szCs w:val="20"/>
        </w:rPr>
        <w:t xml:space="preserve">גליה הילדסהימר "חוזה עבודה אישי ומניעת הרעת תנאים, חלקים א'-ב'" מצגת הקורס היבטים משפטיים ואתיים בייעוץ ופיתוח ארגוני, המרכז האקדמי פרס (2026).</w:t>
      </w:r>
    </w:p>
  </w:footnote>
  <w:footnote w:id="20">
    <w:p>
      <w:pPr>
        <w:bidi/>
        <w:spacing w:before="0" w:after="0" w:line="240" w:lineRule="auto"/>
        <w:jc w:val="both"/>
      </w:pPr>
      <w:r>
        <w:rPr>
          <w:vertAlign w:val="superscript"/>
          <w:sz w:val="20"/>
        </w:rPr>
        <w:footnoteRef/>
      </w:r>
      <w:r>
        <w:rPr>
          <w:sz w:val="20"/>
        </w:rPr>
        <w:t xml:space="preserve"> </w:t>
      </w:r>
      <w:r>
        <w:rPr>
          <w:rtl/>
          <w:sz w:val="20"/>
          <w:szCs w:val="20"/>
        </w:rPr>
        <w:t xml:space="preserve">גיא דוידוב "הפררוגטיבה של המעביד ודיני החוזים: בעקבות פרשות נהרי וגרינשפן" משפטים לח(2) 417, 418 ו-439 (2008).</w:t>
      </w:r>
    </w:p>
  </w:footnote>
  <w:footnote w:id="21">
    <w:p>
      <w:pPr>
        <w:bidi/>
        <w:spacing w:before="0" w:after="0" w:line="240" w:lineRule="auto"/>
        <w:jc w:val="both"/>
      </w:pPr>
      <w:r>
        <w:rPr>
          <w:vertAlign w:val="superscript"/>
          <w:sz w:val="20"/>
        </w:rPr>
        <w:footnoteRef/>
      </w:r>
      <w:r>
        <w:rPr>
          <w:sz w:val="20"/>
        </w:rPr>
        <w:t xml:space="preserve"> </w:t>
      </w:r>
      <w:r>
        <w:rPr>
          <w:rtl/>
          <w:sz w:val="20"/>
          <w:szCs w:val="20"/>
        </w:rPr>
        <w:t xml:space="preserve">ס' 2(א)(3), 3 ו-5א לחוק הודעה לעובד ולמועמד לעבודה (תנאי עבודה והליכי מיון וקבלה לעבודה), התשס"ב–2002.</w:t>
      </w:r>
    </w:p>
  </w:footnote>
  <w:footnote w:id="22">
    <w:p>
      <w:pPr>
        <w:bidi/>
        <w:spacing w:before="0" w:after="0" w:line="240" w:lineRule="auto"/>
        <w:jc w:val="both"/>
      </w:pPr>
      <w:r>
        <w:rPr>
          <w:vertAlign w:val="superscript"/>
          <w:sz w:val="20"/>
        </w:rPr>
        <w:footnoteRef/>
      </w:r>
      <w:r>
        <w:rPr>
          <w:sz w:val="20"/>
        </w:rPr>
        <w:t xml:space="preserve"> </w:t>
      </w:r>
      <w:r>
        <w:rPr>
          <w:rtl/>
          <w:sz w:val="20"/>
          <w:szCs w:val="20"/>
        </w:rPr>
        <w:t xml:space="preserve">ס' 11(א) לחוק פיצויי פיטורים, התשכ"ג–1963.</w:t>
      </w:r>
    </w:p>
  </w:footnote>
  <w:footnote w:id="23">
    <w:p>
      <w:pPr>
        <w:bidi/>
        <w:spacing w:before="0" w:after="0" w:line="240" w:lineRule="auto"/>
        <w:jc w:val="both"/>
      </w:pPr>
      <w:r>
        <w:rPr>
          <w:vertAlign w:val="superscript"/>
          <w:sz w:val="20"/>
        </w:rPr>
        <w:footnoteRef/>
      </w:r>
      <w:r>
        <w:rPr>
          <w:sz w:val="20"/>
        </w:rPr>
        <w:t xml:space="preserve"> </w:t>
      </w:r>
      <w:r>
        <w:rPr>
          <w:rtl/>
          <w:sz w:val="20"/>
          <w:szCs w:val="20"/>
        </w:rPr>
        <w:t xml:space="preserve">ס' 1(א), שם.</w:t>
      </w:r>
    </w:p>
  </w:footnote>
  <w:footnote w:id="24">
    <w:p>
      <w:pPr>
        <w:bidi/>
        <w:spacing w:before="0" w:after="0" w:line="240" w:lineRule="auto"/>
        <w:jc w:val="both"/>
      </w:pPr>
      <w:r>
        <w:rPr>
          <w:vertAlign w:val="superscript"/>
          <w:sz w:val="20"/>
        </w:rPr>
        <w:footnoteRef/>
      </w:r>
      <w:r>
        <w:rPr>
          <w:sz w:val="20"/>
        </w:rPr>
        <w:t xml:space="preserve"> </w:t>
      </w:r>
      <w:r>
        <w:rPr>
          <w:rtl/>
          <w:sz w:val="20"/>
          <w:szCs w:val="20"/>
        </w:rPr>
        <w:t xml:space="preserve">תב"ע (ארצי) נד/86-3 יוחנן גולן נ' אי.אל.די. בע"מ (להלן: עניין גולן).</w:t>
      </w:r>
    </w:p>
  </w:footnote>
  <w:footnote w:id="25">
    <w:p>
      <w:pPr>
        <w:bidi/>
        <w:spacing w:before="0" w:after="0" w:line="240" w:lineRule="auto"/>
        <w:jc w:val="both"/>
      </w:pPr>
      <w:r>
        <w:rPr>
          <w:vertAlign w:val="superscript"/>
          <w:sz w:val="20"/>
        </w:rPr>
        <w:footnoteRef/>
      </w:r>
      <w:r>
        <w:rPr>
          <w:sz w:val="20"/>
        </w:rPr>
        <w:t xml:space="preserve"> </w:t>
      </w:r>
      <w:r>
        <w:rPr>
          <w:rtl/>
          <w:sz w:val="20"/>
          <w:szCs w:val="20"/>
        </w:rPr>
        <w:t xml:space="preserve">ע"ע (ארצי) 28475-03-20 סלמאן נ' אקובג בע"מ, פס' 4-10 (נבו 7.12.2020).</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pPr>
    <w:rPr>
      <w:rFonts w:ascii="David" w:hAnsi="David" w:cs="David" w:eastAsia="David"/>
      <w:sz w:val="24"/>
      <w:szCs w:val="24"/>
      <w:lang w:bidi="he-I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Fn1"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