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pPr>
        <w:bidi/>
        <w:spacing w:line="480"/>
        <w:jc w:val="center"/>
      </w:pPr>
      <w:r>
        <w:rPr>
          <w:rFonts w:ascii="David" w:cs="David" w:eastAsia="David" w:hAnsi="David"/>
          <w:b/>
          <w:bCs/>
          <w:sz w:val="36"/>
          <w:szCs w:val="36"/>
          <w:rtl/>
        </w:rPr>
        <w:t xml:space="preserve">רווחה נפשית ותפיסת הלגיטימיות של סגל הכליאה בקרב אסירים שפוטים בישראל</w:t>
      </w:r>
    </w:p>
    <w:p>
      <w:r>
        <w:t xml:space="preserve"/>
      </w:r>
    </w:p>
    <w:p>
      <w:r>
        <w:t xml:space="preserve"/>
      </w:r>
    </w:p>
    <w:p>
      <w:pPr>
        <w:bidi/>
        <w:spacing w:after="120" w:line="360"/>
        <w:jc w:val="center"/>
      </w:pPr>
      <w:r>
        <w:rPr>
          <w:rFonts w:ascii="David" w:cs="David" w:eastAsia="David" w:hAnsi="David"/>
          <w:sz w:val="24"/>
          <w:szCs w:val="24"/>
          <w:rtl/>
        </w:rPr>
        <w:t xml:space="preserve">עבודה מוגשת במסגרת סמינריון תנאי כליאה של אסירים פליליים בישראל ובעולם</w:t>
      </w:r>
    </w:p>
    <w:p>
      <w:r>
        <w:t xml:space="preserve"/>
      </w:r>
    </w:p>
    <w:p>
      <w:pPr>
        <w:bidi/>
        <w:spacing w:after="120" w:line="360"/>
        <w:jc w:val="center"/>
      </w:pPr>
      <w:r>
        <w:rPr>
          <w:rFonts w:ascii="David" w:cs="David" w:eastAsia="David" w:hAnsi="David"/>
          <w:sz w:val="24"/>
          <w:szCs w:val="24"/>
          <w:rtl/>
        </w:rPr>
        <w:t xml:space="preserve">מאת</w:t>
      </w:r>
    </w:p>
    <w:p>
      <w:pPr>
        <w:bidi/>
        <w:spacing w:after="120" w:line="360"/>
        <w:jc w:val="center"/>
      </w:pPr>
      <w:r>
        <w:rPr>
          <w:rFonts w:ascii="David" w:cs="David" w:eastAsia="David" w:hAnsi="David"/>
          <w:sz w:val="24"/>
          <w:szCs w:val="24"/>
          <w:highlight w:val="yellow"/>
          <w:rtl/>
        </w:rPr>
        <w:t xml:space="preserve">שם, מספר זהות</w:t>
      </w:r>
    </w:p>
    <w:p>
      <w:pPr>
        <w:bidi/>
        <w:spacing w:after="120" w:line="360"/>
        <w:jc w:val="center"/>
      </w:pPr>
      <w:r>
        <w:rPr>
          <w:rFonts w:ascii="David" w:cs="David" w:eastAsia="David" w:hAnsi="David"/>
          <w:sz w:val="24"/>
          <w:szCs w:val="24"/>
          <w:highlight w:val="yellow"/>
          <w:rtl/>
        </w:rPr>
        <w:t xml:space="preserve">שם, מספר זהות</w:t>
      </w:r>
    </w:p>
    <w:p>
      <w:r>
        <w:t xml:space="preserve"/>
      </w:r>
    </w:p>
    <w:p>
      <w:r>
        <w:t xml:space="preserve"/>
      </w:r>
    </w:p>
    <w:p>
      <w:pPr>
        <w:bidi/>
        <w:spacing w:after="120" w:line="360"/>
        <w:jc w:val="center"/>
      </w:pPr>
      <w:r>
        <w:rPr>
          <w:rFonts w:ascii="David" w:cs="David" w:eastAsia="David" w:hAnsi="David"/>
          <w:sz w:val="24"/>
          <w:szCs w:val="24"/>
          <w:rtl/>
        </w:rPr>
        <w:t xml:space="preserve">החוג לקרימינולוגיה</w:t>
      </w:r>
    </w:p>
    <w:p>
      <w:pPr>
        <w:bidi/>
        <w:spacing w:after="120" w:line="360"/>
        <w:jc w:val="center"/>
      </w:pPr>
      <w:r>
        <w:rPr>
          <w:rFonts w:ascii="David" w:cs="David" w:eastAsia="David" w:hAnsi="David"/>
          <w:sz w:val="24"/>
          <w:szCs w:val="24"/>
          <w:rtl/>
        </w:rPr>
        <w:t xml:space="preserve">המכללה האקדמית אשקלון</w:t>
      </w:r>
    </w:p>
    <w:p>
      <w:r>
        <w:t xml:space="preserve"/>
      </w:r>
    </w:p>
    <w:p>
      <w:r>
        <w:t xml:space="preserve"/>
      </w:r>
    </w:p>
    <w:p>
      <w:r>
        <w:t xml:space="preserve"/>
      </w:r>
    </w:p>
    <w:p>
      <w:r>
        <w:t xml:space="preserve"/>
      </w:r>
    </w:p>
    <w:p>
      <w:pPr>
        <w:bidi/>
        <w:spacing w:after="120" w:line="360"/>
        <w:jc w:val="center"/>
      </w:pPr>
      <w:r>
        <w:rPr>
          <w:rFonts w:ascii="David" w:cs="David" w:eastAsia="David" w:hAnsi="David"/>
          <w:sz w:val="24"/>
          <w:szCs w:val="24"/>
          <w:rtl/>
        </w:rPr>
        <w:t xml:space="preserve">אשקלון, </w:t>
      </w:r>
      <w:r>
        <w:rPr>
          <w:rFonts w:ascii="David" w:cs="David" w:eastAsia="David" w:hAnsi="David"/>
          <w:sz w:val="24"/>
          <w:szCs w:val="24"/>
          <w:highlight w:val="yellow"/>
          <w:rtl/>
        </w:rPr>
        <w:t xml:space="preserve">אלול תשפ"ו, ספטמבר </w:t>
      </w:r>
      <w:r>
        <w:rPr>
          <w:rFonts w:ascii="Times New Roman" w:cs="Times New Roman" w:eastAsia="Times New Roman" w:hAnsi="Times New Roman"/>
          <w:sz w:val="24"/>
          <w:szCs w:val="24"/>
          <w:highlight w:val="yellow"/>
        </w:rPr>
        <w:t xml:space="preserve">2026</w:t>
      </w:r>
    </w:p>
    <w:p>
      <w:pPr>
        <w:pStyle w:val="Heading1"/>
        <w:pageBreakBefore/>
        <w:bidi/>
        <w:spacing w:after="240" w:before="0" w:line="360"/>
        <w:jc w:val="right"/>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pStyle w:val="Heading1"/>
        <w:pageBreakBefore/>
        <w:bidi/>
        <w:spacing w:after="240" w:before="0" w:line="360"/>
        <w:jc w:val="right"/>
      </w:pPr>
      <w:r>
        <w:rPr>
          <w:rFonts w:ascii="David" w:cs="David" w:eastAsia="David" w:hAnsi="David"/>
          <w:b/>
          <w:bCs/>
          <w:sz w:val="32"/>
          <w:szCs w:val="32"/>
          <w:rtl/>
        </w:rPr>
        <w:t xml:space="preserve">תקציר בעברית</w:t>
      </w:r>
    </w:p>
    <w:p>
      <w:pPr>
        <w:bidi/>
        <w:spacing w:after="120" w:line="360"/>
        <w:ind w:firstLine="567"/>
        <w:jc w:val="both"/>
      </w:pPr>
      <w:r>
        <w:rPr>
          <w:rFonts w:ascii="David" w:cs="David" w:eastAsia="David" w:hAnsi="David"/>
          <w:sz w:val="24"/>
          <w:szCs w:val="24"/>
          <w:rtl/>
        </w:rPr>
        <w:t xml:space="preserve">המחקר בחן באיזו מידה קיים קשר בין רווחה נפשית לבין תפיסת הלגיטימיות של סגל הכליאה בקרב אסירים שפוטים בישראל. המסגרת התאורטית נשענת על גישת הצדק הפרוצדורלי ועל ספרות ההסתגלות למאסר. הנתונים הם נתונים סינתטיים המבוססים על סקר תנאי המחיה שנערך בשירות בתי הסוהר בסתיו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והניתוח צומצם ל</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שפוטים. הלגיטימיות נמדדה בשלושה פריטים והרווחה הנפשית בחמישה,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נמצא קשר חיובי מובהק בעוצמה בינונית בין רווחה נפשית ללגיטימיות </w:t>
      </w:r>
      <w:r>
        <w:rPr>
          <w:rFonts w:ascii="Times New Roman" w:cs="Times New Roman" w:eastAsia="Times New Roman" w:hAnsi="Times New Roman"/>
          <w:sz w:val="24"/>
          <w:szCs w:val="24"/>
        </w:rPr>
        <w:t xml:space="preserve">(r = 0.32, p &lt; 0.001)</w:t>
      </w:r>
      <w:r>
        <w:rPr>
          <w:rFonts w:ascii="David" w:cs="David" w:eastAsia="David" w:hAnsi="David"/>
          <w:sz w:val="24"/>
          <w:szCs w:val="24"/>
          <w:rtl/>
        </w:rPr>
        <w:t xml:space="preserve">: שפוטים ברמת הלגיטימיות הגבוהה דיווחו על רווחה נפשית גבוהה בכ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מאלו ברמה הנמוכה. הממצאים תואמים מחקרים מהולנד, מאנגליה ומאוסטרליה, ומלמדים שרווחת האסיר ותפיסת הסגל כרוכות זו בזו. בסיום מוצעות המלצות יישומיות לניהול אגפים.</w:t>
      </w:r>
    </w:p>
    <w:p>
      <w:pPr>
        <w:bidi/>
        <w:spacing w:after="120" w:line="360"/>
        <w:jc w:val="both"/>
      </w:pPr>
      <w:r>
        <w:rPr>
          <w:rFonts w:ascii="David" w:cs="David" w:eastAsia="David" w:hAnsi="David"/>
          <w:sz w:val="24"/>
          <w:szCs w:val="24"/>
          <w:rtl/>
        </w:rPr>
        <w:t xml:space="preserve">מילות מפתח: לגיטימיות, רווחה נפשית, צדק פרוצדורלי, אסירים שפוטים, שירות בתי הסוהר</w:t>
      </w:r>
    </w:p>
    <w:p>
      <w:pPr>
        <w:pStyle w:val="Heading1"/>
        <w:pageBreakBefore/>
        <w:bidi/>
        <w:spacing w:after="240" w:before="0" w:line="360"/>
        <w:jc w:val="right"/>
      </w:pPr>
      <w:r>
        <w:rPr>
          <w:rFonts w:ascii="David" w:cs="David" w:eastAsia="David" w:hAnsi="David"/>
          <w:b/>
          <w:bCs/>
          <w:sz w:val="32"/>
          <w:szCs w:val="32"/>
          <w:rtl/>
        </w:rPr>
        <w:t xml:space="preserve">תקציר באנגלית</w:t>
      </w:r>
    </w:p>
    <w:p>
      <w:pPr>
        <w:spacing w:after="120" w:line="360"/>
        <w:jc w:val="both"/>
      </w:pPr>
      <w:r>
        <w:rPr>
          <w:rFonts w:ascii="Times New Roman" w:cs="Times New Roman" w:eastAsia="Times New Roman" w:hAnsi="Times New Roman"/>
          <w:sz w:val="24"/>
          <w:szCs w:val="24"/>
        </w:rPr>
        <w:t xml:space="preserve">This study examined to what extent mental well-being is associated with the perceived legitimacy of prison staff among sentenced prisoners in Israel. The theoretical framework draws on procedural justice theory and on the literature on adaptation to imprisonment. The data are synthetic and modeled on the Israel Prison Service living conditions survey conducted in autumn 2021; the analysis was restricted to 2,379 sentenced prisoners. Legitimacy was measured with three items and well-being with five, on a 1 to 5 scale. A significant, moderate positive correlation was found between well-being and legitimacy (r = .32, p &lt; .001): prisoners in the high-legitimacy group reported well-being about 0.7 points higher than those in the low-legitimacy group. The findings are consistent with studies from the Netherlands, England and Australia, and suggest that prisoners' well-being and their view of staff are intertwined. Practical recommendations for wing management are offered.</w:t>
      </w:r>
    </w:p>
    <w:p>
      <w:pPr>
        <w:spacing w:after="120" w:line="360"/>
        <w:jc w:val="both"/>
      </w:pPr>
      <w:r>
        <w:rPr>
          <w:rFonts w:ascii="Times New Roman" w:cs="Times New Roman" w:eastAsia="Times New Roman" w:hAnsi="Times New Roman"/>
          <w:sz w:val="24"/>
          <w:szCs w:val="24"/>
        </w:rPr>
        <w:t xml:space="preserve">Keywords: legitimacy, mental well-being, procedural justice, sentenced prisoners, Israel Prison Service</w:t>
      </w:r>
    </w:p>
    <w:p>
      <w:pPr>
        <w:pStyle w:val="Heading1"/>
        <w:pageBreakBefore/>
        <w:bidi/>
        <w:spacing w:after="240" w:before="0" w:line="360"/>
        <w:jc w:val="right"/>
      </w:pPr>
      <w:r>
        <w:rPr>
          <w:rFonts w:ascii="David" w:cs="David" w:eastAsia="David" w:hAnsi="David"/>
          <w:b/>
          <w:bCs/>
          <w:sz w:val="32"/>
          <w:szCs w:val="32"/>
          <w:rtl/>
        </w:rPr>
        <w:t xml:space="preserve">מבוא</w:t>
      </w:r>
    </w:p>
    <w:p>
      <w:pPr>
        <w:bidi/>
        <w:spacing w:after="120" w:line="360"/>
        <w:ind w:firstLine="567"/>
        <w:jc w:val="both"/>
      </w:pPr>
      <w:r>
        <w:rPr>
          <w:rFonts w:ascii="David" w:cs="David" w:eastAsia="David" w:hAnsi="David"/>
          <w:sz w:val="24"/>
          <w:szCs w:val="24"/>
          <w:rtl/>
        </w:rPr>
        <w:t xml:space="preserve">בית הסוהר הוא מוסד שבו סמכות הסגל כמעט מוחלטת, ובכל זאת הסדר היומיומי באגף תלוי בשיתוף פעולה של האסירים.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על בסיס עבודת שדה בשני בתי סוהר בביטחון מרבי באנגליה, טענו שסדר בבתי סוהר אינו מתקיים בכוח בלבד אלא נשען על תחושת האסירים שהמשטר שבו הם חיים הוגן, ושמי שמפעיל אותו ראוי לציות. תחושה זו היא מה שהספרות מכנה לגיטימיות: המידה שבה הכפופים לסמכות רואים בה סמכות שראוי לציית לה, ולא רק סמכות שאפשר להיענש על ידה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בהקשר הכליאה, הלגיטימיות היא האופן שבו האסיר שופט את הסוהרים ואת אנשי הסגל: האם הם מכבדים אותו, האם אפשר לפנות אליהם, האם בקשותיו מטופלות.</w:t>
      </w:r>
    </w:p>
    <w:p>
      <w:pPr>
        <w:bidi/>
        <w:spacing w:after="120" w:line="360"/>
        <w:ind w:firstLine="567"/>
        <w:jc w:val="both"/>
      </w:pPr>
      <w:r>
        <w:rPr>
          <w:rFonts w:ascii="David" w:cs="David" w:eastAsia="David" w:hAnsi="David"/>
          <w:sz w:val="24"/>
          <w:szCs w:val="24"/>
          <w:rtl/>
        </w:rPr>
        <w:t xml:space="preserve">ההקשר הישראלי מוסיף לשאלה משקל. תקנות בתי הסוהר קובעות שטח מחיה של </w:t>
      </w:r>
      <w:r>
        <w:rPr>
          <w:rFonts w:ascii="Times New Roman" w:cs="Times New Roman" w:eastAsia="Times New Roman" w:hAnsi="Times New Roman"/>
          <w:sz w:val="24"/>
          <w:szCs w:val="24"/>
        </w:rPr>
        <w:t xml:space="preserve">4.5</w:t>
      </w:r>
      <w:r>
        <w:rPr>
          <w:rFonts w:ascii="David" w:cs="David" w:eastAsia="David" w:hAnsi="David"/>
          <w:sz w:val="24"/>
          <w:szCs w:val="24"/>
          <w:rtl/>
        </w:rPr>
        <w:t xml:space="preserve"> מטרים רבועים לאסיר, אך במאי </w:t>
      </w:r>
      <w:r>
        <w:rPr>
          <w:rFonts w:ascii="Times New Roman" w:cs="Times New Roman" w:eastAsia="Times New Roman" w:hAnsi="Times New Roman"/>
          <w:sz w:val="24"/>
          <w:szCs w:val="24"/>
        </w:rPr>
        <w:t xml:space="preserve">2019,</w:t>
      </w:r>
      <w:r>
        <w:rPr>
          <w:rFonts w:ascii="David" w:cs="David" w:eastAsia="David" w:hAnsi="David"/>
          <w:sz w:val="24"/>
          <w:szCs w:val="24"/>
          <w:rtl/>
        </w:rPr>
        <w:t xml:space="preserve"> מועד הפעימה הראשונה שקבע בג"ץ בעתירה </w:t>
      </w:r>
      <w:r>
        <w:rPr>
          <w:rFonts w:ascii="Times New Roman" w:cs="Times New Roman" w:eastAsia="Times New Roman" w:hAnsi="Times New Roman"/>
          <w:sz w:val="24"/>
          <w:szCs w:val="24"/>
        </w:rPr>
        <w:t xml:space="preserve">1892</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14,</w:t>
      </w:r>
      <w:r>
        <w:rPr>
          <w:rFonts w:ascii="David" w:cs="David" w:eastAsia="David" w:hAnsi="David"/>
          <w:sz w:val="24"/>
          <w:szCs w:val="24"/>
          <w:rtl/>
        </w:rPr>
        <w:t xml:space="preserve"> כ</w:t>
      </w:r>
      <w:r>
        <w:rPr>
          <w:rFonts w:ascii="Times New Roman" w:cs="Times New Roman" w:eastAsia="Times New Roman" w:hAnsi="Times New Roman"/>
          <w:sz w:val="24"/>
          <w:szCs w:val="24"/>
        </w:rPr>
        <w:t xml:space="preserve">-80</w:t>
      </w:r>
      <w:r>
        <w:rPr>
          <w:rFonts w:ascii="David" w:cs="David" w:eastAsia="David" w:hAnsi="David"/>
          <w:sz w:val="24"/>
          <w:szCs w:val="24"/>
          <w:rtl/>
        </w:rPr>
        <w:t xml:space="preserve"> אחוזים ממקומות הכליאה עדיין היו קטנים מתקן זה (יכימוביץ-כהן, </w:t>
      </w:r>
      <w:r>
        <w:rPr>
          <w:rFonts w:ascii="Times New Roman" w:cs="Times New Roman" w:eastAsia="Times New Roman" w:hAnsi="Times New Roman"/>
          <w:sz w:val="24"/>
          <w:szCs w:val="24"/>
        </w:rPr>
        <w:t xml:space="preserve">2020</w:t>
      </w:r>
      <w:r>
        <w:rPr>
          <w:rFonts w:ascii="David" w:cs="David" w:eastAsia="David" w:hAnsi="David"/>
          <w:sz w:val="24"/>
          <w:szCs w:val="24"/>
          <w:rtl/>
        </w:rPr>
        <w:t xml:space="preserve">). מחקר שנערך בשירות בתי הסוהר מצא שככל שהשטח האפקטיבי לאסיר קטן, כך עולה מספר אירועי האלימות באגף (בן צבי וכרמל, </w:t>
      </w:r>
      <w:r>
        <w:rPr>
          <w:rFonts w:ascii="Times New Roman" w:cs="Times New Roman" w:eastAsia="Times New Roman" w:hAnsi="Times New Roman"/>
          <w:sz w:val="24"/>
          <w:szCs w:val="24"/>
        </w:rPr>
        <w:t xml:space="preserve">2013</w:t>
      </w:r>
      <w:r>
        <w:rPr>
          <w:rFonts w:ascii="David" w:cs="David" w:eastAsia="David" w:hAnsi="David"/>
          <w:sz w:val="24"/>
          <w:szCs w:val="24"/>
          <w:rtl/>
        </w:rPr>
        <w:t xml:space="preserve">). על רקע זה נערך בסתיו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סקר תנאי המחיה הראשון בהיקפו בשירות בתי הסוהר, בקרב </w:t>
      </w:r>
      <w:r>
        <w:rPr>
          <w:rFonts w:ascii="Times New Roman" w:cs="Times New Roman" w:eastAsia="Times New Roman" w:hAnsi="Times New Roman"/>
          <w:sz w:val="24"/>
          <w:szCs w:val="24"/>
        </w:rPr>
        <w:t xml:space="preserve">2,363</w:t>
      </w:r>
      <w:r>
        <w:rPr>
          <w:rFonts w:ascii="David" w:cs="David" w:eastAsia="David" w:hAnsi="David"/>
          <w:sz w:val="24"/>
          <w:szCs w:val="24"/>
          <w:rtl/>
        </w:rPr>
        <w:t xml:space="preserve"> שפוטים ו</w:t>
      </w:r>
      <w:r>
        <w:rPr>
          <w:rFonts w:ascii="Times New Roman" w:cs="Times New Roman" w:eastAsia="Times New Roman" w:hAnsi="Times New Roman"/>
          <w:sz w:val="24"/>
          <w:szCs w:val="24"/>
        </w:rPr>
        <w:t xml:space="preserve">-1,427</w:t>
      </w:r>
      <w:r>
        <w:rPr>
          <w:rFonts w:ascii="David" w:cs="David" w:eastAsia="David" w:hAnsi="David"/>
          <w:sz w:val="24"/>
          <w:szCs w:val="24"/>
          <w:rtl/>
        </w:rPr>
        <w:t xml:space="preserve"> עצורים פליליים. הסקר בחן תשעה תחומים של תנאי מחיה ומצא שהלגיטימיות ממתנת את הקשר בין שביעות הרצון מתנאי המחיה לבין שביעות הרצון מפעילויות חינוך, טיפול ושיקום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המחקר הנוכחי לוקח מאותו מערך נתונים חוט אחד ובוחן אותו לעומק: הקשר בין רווחתו הנפשית של האסיר לבין האופן שבו הוא תופס את לגיטימיות הסגל. הבחירה להתמקד בשפוטים בלבד אינה מקרית. עצור נמצא במצב זמני ולא ודאי, ואילו לשפוט יש אופק ידוע, שהות ממושכת יותר באגף וחשיפה ארוכה יותר לאותו סגל. ואכן, בסקר המקורי דיווחו השפוטים על לגיטימיות גבוהה יותר מהעצורים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תהליכי ההסתגלות למאסר, שהם חלק ממוקד המחקר, רלוונטיים לשפוטים יותר מלעצורים </w:t>
      </w:r>
      <w:r>
        <w:rPr>
          <w:rFonts w:ascii="Times New Roman" w:cs="Times New Roman" w:eastAsia="Times New Roman" w:hAnsi="Times New Roman"/>
          <w:sz w:val="24"/>
          <w:szCs w:val="24"/>
        </w:rPr>
        <w:t xml:space="preserve">(Liebling &amp; Maruna, 2005)</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מטרת המחקר ומבנה העבודה</w:t>
      </w:r>
    </w:p>
    <w:p>
      <w:pPr>
        <w:bidi/>
        <w:spacing w:after="120" w:line="360"/>
        <w:ind w:firstLine="567"/>
        <w:jc w:val="both"/>
      </w:pPr>
      <w:r>
        <w:rPr>
          <w:rFonts w:ascii="David" w:cs="David" w:eastAsia="David" w:hAnsi="David"/>
          <w:sz w:val="24"/>
          <w:szCs w:val="24"/>
          <w:rtl/>
        </w:rPr>
        <w:t xml:space="preserve">מטרת המחקר היא לבחון את הקשר בין רווחה נפשית לבין תפיסת הלגיטימיות של סגל הכליאה בקרב אסירים שפוטים. הלגיטימיות היא המשתנה התלוי והרווחה הנפשית היא המשתנה הבלתי תלוי. העבודה פותחת בסקירת ספרות בשני חלקים, הסתגלות למאסר ורווחה נפשית מצד אחד ולגיטימיות של סגל הכליאה מצד שני, ומסתיימת בשאלת המחקר ובהשערה. לאחר מכן מוצגים פרק השיטה, פרק הממצאים והדיון, ובסופם מגבלות המחקר, סיכום, גילוי נאות ורשימת המקורות. הפלטים הסטטיסטיים מובאים בנספח א'.</w:t>
      </w:r>
    </w:p>
    <w:p>
      <w:pPr>
        <w:pStyle w:val="Heading1"/>
        <w:pageBreakBefore/>
        <w:bidi/>
        <w:spacing w:after="240" w:before="0" w:line="360"/>
        <w:jc w:val="right"/>
      </w:pPr>
      <w:r>
        <w:rPr>
          <w:rFonts w:ascii="David" w:cs="David" w:eastAsia="David" w:hAnsi="David"/>
          <w:b/>
          <w:bCs/>
          <w:sz w:val="32"/>
          <w:szCs w:val="32"/>
          <w:rtl/>
        </w:rPr>
        <w:t xml:space="preserve">סקירת ספרות</w:t>
      </w:r>
    </w:p>
    <w:p>
      <w:pPr>
        <w:pStyle w:val="Heading2"/>
        <w:keepNext/>
        <w:bidi/>
        <w:spacing w:after="120" w:before="240" w:line="360"/>
        <w:jc w:val="right"/>
      </w:pPr>
      <w:r>
        <w:rPr>
          <w:rFonts w:ascii="David" w:cs="David" w:eastAsia="David" w:hAnsi="David"/>
          <w:b/>
          <w:bCs/>
          <w:sz w:val="28"/>
          <w:szCs w:val="28"/>
          <w:rtl/>
        </w:rPr>
        <w:t xml:space="preserve">הסתגלות למאסר ורווחה נפשית</w:t>
      </w:r>
    </w:p>
    <w:p>
      <w:pPr>
        <w:bidi/>
        <w:spacing w:after="120" w:line="360"/>
        <w:ind w:firstLine="567"/>
        <w:jc w:val="both"/>
      </w:pPr>
      <w:r>
        <w:rPr>
          <w:rFonts w:ascii="David" w:cs="David" w:eastAsia="David" w:hAnsi="David"/>
          <w:sz w:val="24"/>
          <w:szCs w:val="24"/>
          <w:rtl/>
        </w:rPr>
        <w:t xml:space="preserve">נקודת המוצא לכל דיון בהסתגלות למאסר היא עבודתו של סייקס </w:t>
      </w:r>
      <w:r>
        <w:rPr>
          <w:rFonts w:ascii="Times New Roman" w:cs="Times New Roman" w:eastAsia="Times New Roman" w:hAnsi="Times New Roman"/>
          <w:sz w:val="24"/>
          <w:szCs w:val="24"/>
        </w:rPr>
        <w:t xml:space="preserve">(Sykes, 1958)</w:t>
      </w:r>
      <w:r>
        <w:rPr>
          <w:rFonts w:ascii="David" w:cs="David" w:eastAsia="David" w:hAnsi="David"/>
          <w:sz w:val="24"/>
          <w:szCs w:val="24"/>
          <w:rtl/>
        </w:rPr>
        <w:t xml:space="preserve">, שתיאר את "כאבי המאסר": אובדן החירות, אובדן טובין ושירותים, אובדן קשרים אינטימיים, אובדן האוטונומיה ואובדן תחושת הביטחון. סייקס ראה בכאבים אלו לא רק אי-נוחות אלא איום על תפיסת העצמי של האסיר, וטען שחיי האגף הם תגובה קולקטיבית לאיום זה. מודל המחסור שנגזר מעבודתו מניח שהתנהגות האסיר היא תוצאה ישירה של סביבת בית הסוהר, ולכן תנאי כליאה נוקשים צפויים להוליד התנהגות שלילית יותר (דוידסקו וולק, </w:t>
      </w:r>
      <w:r>
        <w:rPr>
          <w:rFonts w:ascii="Times New Roman" w:cs="Times New Roman" w:eastAsia="Times New Roman" w:hAnsi="Times New Roman"/>
          <w:sz w:val="24"/>
          <w:szCs w:val="24"/>
        </w:rPr>
        <w:t xml:space="preserve">2015</w:t>
      </w:r>
      <w:r>
        <w:rPr>
          <w:rFonts w:ascii="David" w:cs="David" w:eastAsia="David" w:hAnsi="David"/>
          <w:sz w:val="24"/>
          <w:szCs w:val="24"/>
          <w:rtl/>
        </w:rPr>
        <w:t xml:space="preserve">). חמשת הכאבים הללו הם הבסיס שממנו צומחת השאלה כיצד אדם מסתגל למקום שנועד לשלול ממנו כמעט הכול.</w:t>
      </w:r>
    </w:p>
    <w:p>
      <w:pPr>
        <w:bidi/>
        <w:spacing w:after="120" w:line="360"/>
        <w:ind w:firstLine="567"/>
        <w:jc w:val="both"/>
      </w:pPr>
      <w:r>
        <w:rPr>
          <w:rFonts w:ascii="David" w:cs="David" w:eastAsia="David" w:hAnsi="David"/>
          <w:sz w:val="24"/>
          <w:szCs w:val="24"/>
          <w:rtl/>
        </w:rPr>
        <w:t xml:space="preserve">הספרות המאוחרת עברה מתיאור כללי של המאסר לבחינה של הבדלים בין בתי סוהר ובין אסירים. ליבלינג ומרונה </w:t>
      </w:r>
      <w:r>
        <w:rPr>
          <w:rFonts w:ascii="Times New Roman" w:cs="Times New Roman" w:eastAsia="Times New Roman" w:hAnsi="Times New Roman"/>
          <w:sz w:val="24"/>
          <w:szCs w:val="24"/>
        </w:rPr>
        <w:t xml:space="preserve">(Liebling &amp; Maruna, 2005)</w:t>
      </w:r>
      <w:r>
        <w:rPr>
          <w:rFonts w:ascii="David" w:cs="David" w:eastAsia="David" w:hAnsi="David"/>
          <w:sz w:val="24"/>
          <w:szCs w:val="24"/>
          <w:rtl/>
        </w:rPr>
        <w:t xml:space="preserve"> הראו שהשפעות המאסר אינן אחידות: תקופת הקליטה היא הפגיעה ביותר, והמצוקה הנפשית מרוכזת בשבועות הראשונים. ליבלינג </w:t>
      </w:r>
      <w:r>
        <w:rPr>
          <w:rFonts w:ascii="Times New Roman" w:cs="Times New Roman" w:eastAsia="Times New Roman" w:hAnsi="Times New Roman"/>
          <w:sz w:val="24"/>
          <w:szCs w:val="24"/>
        </w:rPr>
        <w:t xml:space="preserve">(Liebling, 2004)</w:t>
      </w:r>
      <w:r>
        <w:rPr>
          <w:rFonts w:ascii="David" w:cs="David" w:eastAsia="David" w:hAnsi="David"/>
          <w:sz w:val="24"/>
          <w:szCs w:val="24"/>
          <w:rtl/>
        </w:rPr>
        <w:t xml:space="preserve"> הוסיפה מסגרת מושגית שקראה לה "הביצוע המוסרי" של בית הסוהר, שכולל כבוד, אנושיות, יחסים עם הסגל, הוגנות וביטחון, ומצאה שממדים אלו נבדלים בין מוסדות ומתואמים עם רמת המצוקה של האסירים. בהמשך לכך זיהו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על בסיס </w:t>
      </w:r>
      <w:r>
        <w:rPr>
          <w:rFonts w:ascii="Times New Roman" w:cs="Times New Roman" w:eastAsia="Times New Roman" w:hAnsi="Times New Roman"/>
          <w:sz w:val="24"/>
          <w:szCs w:val="24"/>
        </w:rPr>
        <w:t xml:space="preserve">518</w:t>
      </w:r>
      <w:r>
        <w:rPr>
          <w:rFonts w:ascii="David" w:cs="David" w:eastAsia="David" w:hAnsi="David"/>
          <w:sz w:val="24"/>
          <w:szCs w:val="24"/>
          <w:rtl/>
        </w:rPr>
        <w:t xml:space="preserve"> סקרי איכות חיים באנגליה ובוויילס בין </w:t>
      </w:r>
      <w:r>
        <w:rPr>
          <w:rFonts w:ascii="Times New Roman" w:cs="Times New Roman" w:eastAsia="Times New Roman" w:hAnsi="Times New Roman"/>
          <w:sz w:val="24"/>
          <w:szCs w:val="24"/>
        </w:rPr>
        <w:t xml:space="preserve">2009</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-2020,</w:t>
      </w:r>
      <w:r>
        <w:rPr>
          <w:rFonts w:ascii="David" w:cs="David" w:eastAsia="David" w:hAnsi="David"/>
          <w:sz w:val="24"/>
          <w:szCs w:val="24"/>
          <w:rtl/>
        </w:rPr>
        <w:t xml:space="preserve"> שני ספים אמפיריים לכל ממד: סף "לא בטוח" וסף "בטוח מינימלית". בממד היחסים בין סגל לאסירים עמדו הספים על </w:t>
      </w:r>
      <w:r>
        <w:rPr>
          <w:rFonts w:ascii="Times New Roman" w:cs="Times New Roman" w:eastAsia="Times New Roman" w:hAnsi="Times New Roman"/>
          <w:sz w:val="24"/>
          <w:szCs w:val="24"/>
        </w:rPr>
        <w:t xml:space="preserve">3.05</w:t>
      </w:r>
      <w:r>
        <w:rPr>
          <w:rFonts w:ascii="David" w:cs="David" w:eastAsia="David" w:hAnsi="David"/>
          <w:sz w:val="24"/>
          <w:szCs w:val="24"/>
          <w:rtl/>
        </w:rPr>
        <w:t xml:space="preserve"> ו</w:t>
      </w:r>
      <w:r>
        <w:rPr>
          <w:rFonts w:ascii="Times New Roman" w:cs="Times New Roman" w:eastAsia="Times New Roman" w:hAnsi="Times New Roman"/>
          <w:sz w:val="24"/>
          <w:szCs w:val="24"/>
        </w:rPr>
        <w:t xml:space="preserve">-3.55</w:t>
      </w:r>
      <w:r>
        <w:rPr>
          <w:rFonts w:ascii="David" w:cs="David" w:eastAsia="David" w:hAnsi="David"/>
          <w:sz w:val="24"/>
          <w:szCs w:val="24"/>
          <w:rtl/>
        </w:rPr>
        <w:t xml:space="preserve">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ובבתי סוהר שמתחת לסף התחתון נמצאו שיעורים גבוהים באופן מובהק של תקיפות, פגיעה עצמית ומקרי מוות. בהולנד בחנו ון גינקן ואחרים </w:t>
      </w:r>
      <w:r>
        <w:rPr>
          <w:rFonts w:ascii="Times New Roman" w:cs="Times New Roman" w:eastAsia="Times New Roman" w:hAnsi="Times New Roman"/>
          <w:sz w:val="24"/>
          <w:szCs w:val="24"/>
        </w:rPr>
        <w:t xml:space="preserve">(Van Ginneken et al., 2019)</w:t>
      </w:r>
      <w:r>
        <w:rPr>
          <w:rFonts w:ascii="David" w:cs="David" w:eastAsia="David" w:hAnsi="David"/>
          <w:sz w:val="24"/>
          <w:szCs w:val="24"/>
          <w:rtl/>
        </w:rPr>
        <w:t xml:space="preserve"> את הקשר בין אקלים בית הסוהר לרווחה בקרב </w:t>
      </w:r>
      <w:r>
        <w:rPr>
          <w:rFonts w:ascii="Times New Roman" w:cs="Times New Roman" w:eastAsia="Times New Roman" w:hAnsi="Times New Roman"/>
          <w:sz w:val="24"/>
          <w:szCs w:val="24"/>
        </w:rPr>
        <w:t xml:space="preserve">4,538</w:t>
      </w:r>
      <w:r>
        <w:rPr>
          <w:rFonts w:ascii="David" w:cs="David" w:eastAsia="David" w:hAnsi="David"/>
          <w:sz w:val="24"/>
          <w:szCs w:val="24"/>
          <w:rtl/>
        </w:rPr>
        <w:t xml:space="preserve"> אסירים, באמצעות סקר "החיים במשמורת" שממנו נגזר גם השאלון הישראלי. הם מצאו שרוב השונות ברווחה נמצאת ברמת האסיר ולא ברמת האגף, ושתפיסות אישיות של אוטונומיה, ביטחון ויחסים עם אסירים אחרים קשורות לרווחה גבוהה יותר. היחסים עם הסגל, בניגוד לצפוי, לא נמצאו קשורים לרווחה באופן ישיר, והחוקרים הסבירו זאת במתאם בין יחסי הסגל לתחושת האוטונומיה: יחס הוגן של הסוהרים מגדיל את תחושת השליטה של האסיר, וזו שקשורה לרווחה.</w:t>
      </w:r>
    </w:p>
    <w:p>
      <w:pPr>
        <w:bidi/>
        <w:spacing w:after="120" w:line="360"/>
        <w:ind w:firstLine="567"/>
        <w:jc w:val="both"/>
      </w:pPr>
      <w:r>
        <w:rPr>
          <w:rFonts w:ascii="David" w:cs="David" w:eastAsia="David" w:hAnsi="David"/>
          <w:sz w:val="24"/>
          <w:szCs w:val="24"/>
          <w:rtl/>
        </w:rPr>
        <w:t xml:space="preserve">הקשר בין יחס הסגל לרווחה נחקר גם במערכי אורך. בייארסברגן ואחרים </w:t>
      </w:r>
      <w:r>
        <w:rPr>
          <w:rFonts w:ascii="Times New Roman" w:cs="Times New Roman" w:eastAsia="Times New Roman" w:hAnsi="Times New Roman"/>
          <w:sz w:val="24"/>
          <w:szCs w:val="24"/>
        </w:rPr>
        <w:t xml:space="preserve">(Beijersbergen et al., 2014)</w:t>
      </w:r>
      <w:r>
        <w:rPr>
          <w:rFonts w:ascii="David" w:cs="David" w:eastAsia="David" w:hAnsi="David"/>
          <w:sz w:val="24"/>
          <w:szCs w:val="24"/>
          <w:rtl/>
        </w:rPr>
        <w:t xml:space="preserve"> ראיינו </w:t>
      </w:r>
      <w:r>
        <w:rPr>
          <w:rFonts w:ascii="Times New Roman" w:cs="Times New Roman" w:eastAsia="Times New Roman" w:hAnsi="Times New Roman"/>
          <w:sz w:val="24"/>
          <w:szCs w:val="24"/>
        </w:rPr>
        <w:t xml:space="preserve">824</w:t>
      </w:r>
      <w:r>
        <w:rPr>
          <w:rFonts w:ascii="David" w:cs="David" w:eastAsia="David" w:hAnsi="David"/>
          <w:sz w:val="24"/>
          <w:szCs w:val="24"/>
          <w:rtl/>
        </w:rPr>
        <w:t xml:space="preserve"> אסירים גברים שלושה שבועות ושלושה חודשים לאחר קליטתם, ומצאו שתפיסה של יחס הוגן מצד הסוהרים בזמן הראשון ניבאה פחות בעיות נפשיות בזמן השני. באוסטרליה עקבו סרג'נט ואחרים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אחר אסירים בניו סאות' ויילס בשלוש נקודות זמן ומצאו שצדק פרוצדורלי קשור לרווחה נפשית גבוהה יותר. בנתוני החתך תיווכו את הקשר גם היחסים עם הסגל וגם תחושת הביטחון, אך בניתוח האורך רק היחסים עם הסגל תיווכו אותו, והחוקרים הסיקו שהכשרת סוהרים בצדק פרוצדורלי היא הדרך המעשית לשפר את רווחת האסירים. גם בבתי מעצר בארצות הברית נמצא שתפיסה גבוהה של צדק פרוצדורלי קשורה לפחות מחשבות אובדניות </w:t>
      </w:r>
      <w:r>
        <w:rPr>
          <w:rFonts w:ascii="Times New Roman" w:cs="Times New Roman" w:eastAsia="Times New Roman" w:hAnsi="Times New Roman"/>
          <w:sz w:val="24"/>
          <w:szCs w:val="24"/>
        </w:rPr>
        <w:t xml:space="preserve">(Abderhalden &amp; Alward, 2024)</w:t>
      </w:r>
      <w:r>
        <w:rPr>
          <w:rFonts w:ascii="David" w:cs="David" w:eastAsia="David" w:hAnsi="David"/>
          <w:sz w:val="24"/>
          <w:szCs w:val="24"/>
          <w:rtl/>
        </w:rPr>
        <w:t xml:space="preserve">. כיוון ההשפעה במחקרים אלו הוא מיחס הסגל אל הרווחה. המחקר הנוכחי בוחן את הכיוון ההפוך, הרווחה הנפשית כמנבאת של תפיסת הסגל, ומכיוון שהוא מתאמי, אין בו כדי להכריע בין השניים אלא לבחון אם הקשר קיים בישראל ומה עוצמתו.</w:t>
      </w:r>
    </w:p>
    <w:p>
      <w:pPr>
        <w:pStyle w:val="Heading2"/>
        <w:keepNext/>
        <w:bidi/>
        <w:spacing w:after="120" w:before="240" w:line="360"/>
        <w:jc w:val="right"/>
      </w:pPr>
      <w:r>
        <w:rPr>
          <w:rFonts w:ascii="David" w:cs="David" w:eastAsia="David" w:hAnsi="David"/>
          <w:b/>
          <w:bCs/>
          <w:sz w:val="28"/>
          <w:szCs w:val="28"/>
          <w:rtl/>
        </w:rPr>
        <w:t xml:space="preserve">לגיטימיות של סגל הכליאה</w:t>
      </w:r>
    </w:p>
    <w:p>
      <w:pPr>
        <w:bidi/>
        <w:spacing w:after="120" w:line="360"/>
        <w:ind w:firstLine="567"/>
        <w:jc w:val="both"/>
      </w:pPr>
      <w:r>
        <w:rPr>
          <w:rFonts w:ascii="David" w:cs="David" w:eastAsia="David" w:hAnsi="David"/>
          <w:sz w:val="24"/>
          <w:szCs w:val="24"/>
          <w:rtl/>
        </w:rPr>
        <w:t xml:space="preserve">המודל המבוסס-תהליך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הוא הבסיס התאורטי של רוב מחקרי הלגיטימיות בכליאה. טיילר הראה, בתחילה ביחס למשטרה ולבתי המשפט, שאנשים מצייתים לחוק בעיקר משום שהם תופסים את הרשות כלגיטימית, ושהלגיטימיות נבנית דרך צדק פרוצדורלי: מתן קול, ניטרליות בקבלת החלטות, יחס מכבד ותחושה שהרשות פועלת בתום לב.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העבירו את המודל אל בית הסוהר וטענו שדווקא במקום שבו פערי הכוח קיצוניים, האופן שבו הסמכות מופעלת קובע אם היא תזכה לציות נורמטיבי או רק לציות אינסטרומנטלי מפחד.</w:t>
      </w:r>
    </w:p>
    <w:p>
      <w:pPr>
        <w:bidi/>
        <w:spacing w:after="120" w:line="360"/>
        <w:ind w:firstLine="567"/>
        <w:jc w:val="both"/>
      </w:pPr>
      <w:r>
        <w:rPr>
          <w:rFonts w:ascii="David" w:cs="David" w:eastAsia="David" w:hAnsi="David"/>
          <w:sz w:val="24"/>
          <w:szCs w:val="24"/>
          <w:rtl/>
        </w:rPr>
        <w:t xml:space="preserve">הממצא האמפירי הרחב ביותר בתחום מגיע מאנגליה ומוויילס. ברנטון-סמית ומקארתי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ניתחו סקר של יותר מ</w:t>
      </w:r>
      <w:r>
        <w:rPr>
          <w:rFonts w:ascii="Times New Roman" w:cs="Times New Roman" w:eastAsia="Times New Roman" w:hAnsi="Times New Roman"/>
          <w:sz w:val="24"/>
          <w:szCs w:val="24"/>
        </w:rPr>
        <w:t xml:space="preserve">-3,000</w:t>
      </w:r>
      <w:r>
        <w:rPr>
          <w:rFonts w:ascii="David" w:cs="David" w:eastAsia="David" w:hAnsi="David"/>
          <w:sz w:val="24"/>
          <w:szCs w:val="24"/>
          <w:rtl/>
        </w:rPr>
        <w:t xml:space="preserve"> אסירים בניתוח רב-רמות ומצאו שההוגנות הפרוצדורלית היא המנבא החזק ביותר של לגיטימיות, ושקיימת שונות בלגיטימיות לפי מאפייני האסיר, לפי תנאי המחיה ובין בתי סוהר. בהולנד חיברו בייארסברגן ואחרים </w:t>
      </w:r>
      <w:r>
        <w:rPr>
          <w:rFonts w:ascii="Times New Roman" w:cs="Times New Roman" w:eastAsia="Times New Roman" w:hAnsi="Times New Roman"/>
          <w:sz w:val="24"/>
          <w:szCs w:val="24"/>
        </w:rPr>
        <w:t xml:space="preserve">(Beijersbergen et al., 2015)</w:t>
      </w:r>
      <w:r>
        <w:rPr>
          <w:rFonts w:ascii="David" w:cs="David" w:eastAsia="David" w:hAnsi="David"/>
          <w:sz w:val="24"/>
          <w:szCs w:val="24"/>
          <w:rtl/>
        </w:rPr>
        <w:t xml:space="preserve"> נתוני </w:t>
      </w:r>
      <w:r>
        <w:rPr>
          <w:rFonts w:ascii="Times New Roman" w:cs="Times New Roman" w:eastAsia="Times New Roman" w:hAnsi="Times New Roman"/>
          <w:sz w:val="24"/>
          <w:szCs w:val="24"/>
        </w:rPr>
        <w:t xml:space="preserve">1,610</w:t>
      </w:r>
      <w:r>
        <w:rPr>
          <w:rFonts w:ascii="David" w:cs="David" w:eastAsia="David" w:hAnsi="David"/>
          <w:sz w:val="24"/>
          <w:szCs w:val="24"/>
          <w:rtl/>
        </w:rPr>
        <w:t xml:space="preserve"> אסירים לנתוני </w:t>
      </w:r>
      <w:r>
        <w:rPr>
          <w:rFonts w:ascii="Times New Roman" w:cs="Times New Roman" w:eastAsia="Times New Roman" w:hAnsi="Times New Roman"/>
          <w:sz w:val="24"/>
          <w:szCs w:val="24"/>
        </w:rPr>
        <w:t xml:space="preserve">690</w:t>
      </w:r>
      <w:r>
        <w:rPr>
          <w:rFonts w:ascii="David" w:cs="David" w:eastAsia="David" w:hAnsi="David"/>
          <w:sz w:val="24"/>
          <w:szCs w:val="24"/>
          <w:rtl/>
        </w:rPr>
        <w:t xml:space="preserve"> אנשי סגל, והראו שמאפייני הסגל ביחידה קשורים לתפיסת הצדק הפרוצדורלי של האסירים מעבר למאפייני האסירים עצמם. בסלובניה, האצין ומשקו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ערכו ראיונות מובנים עם </w:t>
      </w:r>
      <w:r>
        <w:rPr>
          <w:rFonts w:ascii="Times New Roman" w:cs="Times New Roman" w:eastAsia="Times New Roman" w:hAnsi="Times New Roman"/>
          <w:sz w:val="24"/>
          <w:szCs w:val="24"/>
        </w:rPr>
        <w:t xml:space="preserve">193</w:t>
      </w:r>
      <w:r>
        <w:rPr>
          <w:rFonts w:ascii="David" w:cs="David" w:eastAsia="David" w:hAnsi="David"/>
          <w:sz w:val="24"/>
          <w:szCs w:val="24"/>
          <w:rtl/>
        </w:rPr>
        <w:t xml:space="preserve"> אסירים ומצאו שיותר ממחצית המרואיינים לא נתנו אמון בסגל, ושחלק ניכר מהציות שתיארו נבע מפחד מסנקציות ולא מהכרה בלגיטימיות.</w:t>
      </w:r>
    </w:p>
    <w:p>
      <w:pPr>
        <w:bidi/>
        <w:spacing w:after="120" w:line="360"/>
        <w:ind w:firstLine="567"/>
        <w:jc w:val="both"/>
      </w:pPr>
      <w:r>
        <w:rPr>
          <w:rFonts w:ascii="David" w:cs="David" w:eastAsia="David" w:hAnsi="David"/>
          <w:sz w:val="24"/>
          <w:szCs w:val="24"/>
          <w:rtl/>
        </w:rPr>
        <w:t xml:space="preserve">שני ממצאים נוספים חשובים למחקר הנוכחי. פרנקה ואחרים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 הראו בניסוי אקראי שתפיסת הלגיטימיות משתנה במהלך המאסר: בית הסוהר הרגיל פגע בה, ומה שהסביר את הפגיעה היה ריבוי חוויות שליליות ודלות סביבתית. מכאן שהזמן שאדם שוהה במוסד אינו ניטרלי, ושהמרכיבים המעצבים את הרווחה הנפשית הם גם המרכיבים המעצבים את הלגיטימיות. ון הול ואחרים </w:t>
      </w:r>
      <w:r>
        <w:rPr>
          <w:rFonts w:ascii="Times New Roman" w:cs="Times New Roman" w:eastAsia="Times New Roman" w:hAnsi="Times New Roman"/>
          <w:sz w:val="24"/>
          <w:szCs w:val="24"/>
        </w:rPr>
        <w:t xml:space="preserve">(van Hall et al., 2025)</w:t>
      </w:r>
      <w:r>
        <w:rPr>
          <w:rFonts w:ascii="David" w:cs="David" w:eastAsia="David" w:hAnsi="David"/>
          <w:sz w:val="24"/>
          <w:szCs w:val="24"/>
          <w:rtl/>
        </w:rPr>
        <w:t xml:space="preserve"> הוסיפו שהלגיטימיות שנבנית בבית הסוהר "נשפכת" החוצה: אסירים שחשו שהסגל נהג בהם בהוגנות תפסו גם את קצין המבחן שלהם כהוגן יותר, וסיכוייהם להיות מורשעים שוב בתוך שנה היו נמוכים יותר. סקירת ההיקף של ראיין וברגין </w:t>
      </w:r>
      <w:r>
        <w:rPr>
          <w:rFonts w:ascii="Times New Roman" w:cs="Times New Roman" w:eastAsia="Times New Roman" w:hAnsi="Times New Roman"/>
          <w:sz w:val="24"/>
          <w:szCs w:val="24"/>
        </w:rPr>
        <w:t xml:space="preserve">(Ryan &amp; Bergin, 2022)</w:t>
      </w:r>
      <w:r>
        <w:rPr>
          <w:rFonts w:ascii="David" w:cs="David" w:eastAsia="David" w:hAnsi="David"/>
          <w:sz w:val="24"/>
          <w:szCs w:val="24"/>
          <w:rtl/>
        </w:rPr>
        <w:t xml:space="preserve"> סיכמה את הספרות סביב שני צירים, מה מעצב את הלגיטימיות וכיצד היא קשורה לציות, והצביעה על כך שרוב המחקרים נערכו במדינות מערביות מעטות.</w:t>
      </w:r>
    </w:p>
    <w:p>
      <w:pPr>
        <w:bidi/>
        <w:spacing w:after="120" w:line="360"/>
        <w:ind w:firstLine="567"/>
        <w:jc w:val="both"/>
      </w:pPr>
      <w:r>
        <w:rPr>
          <w:rFonts w:ascii="David" w:cs="David" w:eastAsia="David" w:hAnsi="David"/>
          <w:sz w:val="24"/>
          <w:szCs w:val="24"/>
          <w:rtl/>
        </w:rPr>
        <w:t xml:space="preserve">בישראל, המחקר של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הוא הראשון שבחן לגיטימיות בקרב כלואים פליליים בהיקף רחב. הוא מצא ממוצע לגיטימיות גבוה יחסית (</w:t>
      </w:r>
      <w:r>
        <w:rPr>
          <w:rFonts w:ascii="Times New Roman" w:cs="Times New Roman" w:eastAsia="Times New Roman" w:hAnsi="Times New Roman"/>
          <w:sz w:val="24"/>
          <w:szCs w:val="24"/>
        </w:rPr>
        <w:t xml:space="preserve">4.23</w:t>
      </w:r>
      <w:r>
        <w:rPr>
          <w:rFonts w:ascii="David" w:cs="David" w:eastAsia="David" w:hAnsi="David"/>
          <w:sz w:val="24"/>
          <w:szCs w:val="24"/>
          <w:rtl/>
        </w:rPr>
        <w:t xml:space="preserve">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ללא הבדל בין יהודים ללא יהודים ובין גברים לנשים, אך עם לגיטימיות גבוהה יותר בקרב שפוטים לעומת עצורים. הלגיטימיות נמצאה כמשתנה הממתן את הקשר בין תנאי המחיה לשביעות הרצון מפעילויות השיקום: ככל שהלגיטימיות גבוהה יותר, הקשר חזק יותר. המחבר הציע לראות בלגיטימיות כלי ניהולי באגף הפלילי, אך לא בחן את הקשר הישיר בינה לבין הרווחה הנפשית. לאור המחקרים שהוזכרו, שאלת המחקר של העבודה הנוכחית היא באיזו מידה קיים קשר בין רווחה נפשית לבין תפיסת הלגיטימיות של סגל הכליאה בקרב אסירים שפוטים בלבד.</w:t>
      </w:r>
    </w:p>
    <w:p>
      <w:pPr>
        <w:pStyle w:val="Heading2"/>
        <w:keepNext/>
        <w:bidi/>
        <w:spacing w:after="120" w:before="240" w:line="360"/>
        <w:jc w:val="right"/>
      </w:pPr>
      <w:r>
        <w:rPr>
          <w:rFonts w:ascii="David" w:cs="David" w:eastAsia="David" w:hAnsi="David"/>
          <w:b/>
          <w:bCs/>
          <w:sz w:val="28"/>
          <w:szCs w:val="28"/>
          <w:rtl/>
        </w:rPr>
        <w:t xml:space="preserve">שאלת המחקר</w:t>
      </w:r>
    </w:p>
    <w:p>
      <w:pPr>
        <w:bidi/>
        <w:spacing w:after="120" w:line="360"/>
        <w:jc w:val="both"/>
      </w:pPr>
      <w:r>
        <w:rPr>
          <w:rFonts w:ascii="David" w:cs="David" w:eastAsia="David" w:hAnsi="David"/>
          <w:sz w:val="24"/>
          <w:szCs w:val="24"/>
          <w:rtl/>
        </w:rPr>
        <w:t xml:space="preserve">שאלת המחקר: באיזו מידה קיים קשר בין רווחה נפשית לבין תפיסת הלגיטימיות של סגל הכליאה בקרב אסירים שפוטים בלבד?</w:t>
      </w:r>
    </w:p>
    <w:p>
      <w:pPr>
        <w:bidi/>
        <w:spacing w:after="120" w:line="360"/>
        <w:jc w:val="both"/>
      </w:pPr>
      <w:r>
        <w:rPr>
          <w:rFonts w:ascii="David" w:cs="David" w:eastAsia="David" w:hAnsi="David"/>
          <w:sz w:val="24"/>
          <w:szCs w:val="24"/>
          <w:rtl/>
        </w:rPr>
        <w:t xml:space="preserve">משתנה תלוי: תפיסת הלגיטימיות של סגל הכליאה. משתנה בלתי תלוי: רווחה נפשית. אוכלוסיית המחקר מתוארת לפי מגדר, גיל, לאום, מספר מאסרים וותק באגף.</w:t>
      </w:r>
    </w:p>
    <w:p>
      <w:pPr>
        <w:bidi/>
        <w:spacing w:after="120" w:line="360"/>
        <w:jc w:val="both"/>
      </w:pPr>
      <w:r>
        <w:rPr>
          <w:rFonts w:ascii="David" w:cs="David" w:eastAsia="David" w:hAnsi="David"/>
          <w:sz w:val="24"/>
          <w:szCs w:val="24"/>
          <w:rtl/>
        </w:rPr>
        <w:t xml:space="preserve">השערת המחקר: יימצא קשר חיובי מובהק בין רווחה נפשית לבין תפיסת הלגיטימיות של הסגל, כך שככל שהרווחה הנפשית גבוהה יותר, הלגיטימיות המיוחסת לסגל גבוהה יותר, ולהפך. ההשערה נשענת על הקשר שנמצא בין יחס הסגל למצוקה נפשית </w:t>
      </w:r>
      <w:r>
        <w:rPr>
          <w:rFonts w:ascii="Times New Roman" w:cs="Times New Roman" w:eastAsia="Times New Roman" w:hAnsi="Times New Roman"/>
          <w:sz w:val="24"/>
          <w:szCs w:val="24"/>
        </w:rPr>
        <w:t xml:space="preserve">(Beijersbergen et al., 2014; Sargeant et al., 2026)</w:t>
      </w:r>
      <w:r>
        <w:rPr>
          <w:rFonts w:ascii="David" w:cs="David" w:eastAsia="David" w:hAnsi="David"/>
          <w:sz w:val="24"/>
          <w:szCs w:val="24"/>
          <w:rtl/>
        </w:rPr>
        <w:t xml:space="preserve"> ועל הקשר בין דלות סביבתית לירידה בלגיטימיות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w:t>
      </w:r>
    </w:p>
    <w:p>
      <w:pPr>
        <w:pStyle w:val="Heading1"/>
        <w:pageBreakBefore/>
        <w:bidi/>
        <w:spacing w:after="240" w:before="0" w:line="360"/>
        <w:jc w:val="right"/>
      </w:pPr>
      <w:r>
        <w:rPr>
          <w:rFonts w:ascii="David" w:cs="David" w:eastAsia="David" w:hAnsi="David"/>
          <w:b/>
          <w:bCs/>
          <w:sz w:val="32"/>
          <w:szCs w:val="32"/>
          <w:rtl/>
        </w:rPr>
        <w:t xml:space="preserve">שיטת המחקר</w:t>
      </w:r>
    </w:p>
    <w:p>
      <w:pPr>
        <w:bidi/>
        <w:spacing w:after="120" w:line="360"/>
        <w:ind w:firstLine="567"/>
        <w:jc w:val="both"/>
      </w:pPr>
      <w:r>
        <w:rPr>
          <w:rFonts w:ascii="David" w:cs="David" w:eastAsia="David" w:hAnsi="David"/>
          <w:sz w:val="24"/>
          <w:szCs w:val="24"/>
          <w:rtl/>
        </w:rPr>
        <w:t xml:space="preserve">המחקר הוא מחקר כמותי מתאמי במערך חתך, המבוסס על ניתוח משני של נתונים סינתטיים. המשתנה התלוי הוא תפיסת הלגיטימיות של סגל הכליאה, והמשתנה הבלתי תלוי הוא הרווחה הנפשית של האסיר. שני המשתנים הם ציוני סולם רציפים בטווח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המחושבים כממוצע פריטי דיווח עצמי, ולצדם משתני רקע המשמשים לתיאור האוכלוסייה. נתונים סינתטיים נוצרים על ידי מודל סטטיסטי שלמד את ההתפלגויות, את דפוסי אי-ההשבה, את מהימנויות הסולמות ואת הקשרים בין המשתנים בקובץ המקורי, ומייצר משיבים חדשים שאף אחד מהם אינו אסיר אמיתי. השיטה נדרשת משום שסקרי אסירים מכילים מידע רגיש שאינו ניתן למסירה לחוקרים חיצוניים. ניתוח של קובץ כזה צפוי להתנהג כמו ניתוח של הסקר האמיתי, אך אומדנים מדויקים וערכי </w:t>
      </w:r>
      <w:r>
        <w:rPr>
          <w:rFonts w:ascii="Times New Roman" w:cs="Times New Roman" w:eastAsia="Times New Roman" w:hAnsi="Times New Roman"/>
          <w:sz w:val="24"/>
          <w:szCs w:val="24"/>
        </w:rPr>
        <w:t xml:space="preserve">p</w:t>
      </w:r>
      <w:r>
        <w:rPr>
          <w:rFonts w:ascii="David" w:cs="David" w:eastAsia="David" w:hAnsi="David"/>
          <w:sz w:val="24"/>
          <w:szCs w:val="24"/>
          <w:rtl/>
        </w:rPr>
        <w:t xml:space="preserve"> מושפעים מרעש הסינתזה, ולכן כל תוצאה בעבודה זו היא תכונה של הקובץ הסינתטי ולא ממצא על אסירים אמיתיים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הקובץ המקורי הוא סקר תנאי המחיה שנערך באגפים הפליליים של שירות בתי הסוהר בין </w:t>
      </w:r>
      <w:r>
        <w:rPr>
          <w:rFonts w:ascii="Times New Roman" w:cs="Times New Roman" w:eastAsia="Times New Roman" w:hAnsi="Times New Roman"/>
          <w:sz w:val="24"/>
          <w:szCs w:val="24"/>
        </w:rPr>
        <w:t xml:space="preserve">17</w:t>
      </w:r>
      <w:r>
        <w:rPr>
          <w:rFonts w:ascii="David" w:cs="David" w:eastAsia="David" w:hAnsi="David"/>
          <w:sz w:val="24"/>
          <w:szCs w:val="24"/>
          <w:rtl/>
        </w:rPr>
        <w:t xml:space="preserve"> באוקטובר ל</w:t>
      </w:r>
      <w:r>
        <w:rPr>
          <w:rFonts w:ascii="Times New Roman" w:cs="Times New Roman" w:eastAsia="Times New Roman" w:hAnsi="Times New Roman"/>
          <w:sz w:val="24"/>
          <w:szCs w:val="24"/>
        </w:rPr>
        <w:t xml:space="preserve">-24</w:t>
      </w:r>
      <w:r>
        <w:rPr>
          <w:rFonts w:ascii="David" w:cs="David" w:eastAsia="David" w:hAnsi="David"/>
          <w:sz w:val="24"/>
          <w:szCs w:val="24"/>
          <w:rtl/>
        </w:rPr>
        <w:t xml:space="preserve"> בנובמבר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אוכלוסיית המחקר</w:t>
      </w:r>
    </w:p>
    <w:p>
      <w:pPr>
        <w:bidi/>
        <w:spacing w:after="120" w:line="360"/>
        <w:ind w:firstLine="567"/>
        <w:jc w:val="both"/>
      </w:pPr>
      <w:r>
        <w:rPr>
          <w:rFonts w:ascii="David" w:cs="David" w:eastAsia="David" w:hAnsi="David"/>
          <w:sz w:val="24"/>
          <w:szCs w:val="24"/>
          <w:rtl/>
        </w:rPr>
        <w:t xml:space="preserve">בסקר המקורי השתתפו </w:t>
      </w:r>
      <w:r>
        <w:rPr>
          <w:rFonts w:ascii="Times New Roman" w:cs="Times New Roman" w:eastAsia="Times New Roman" w:hAnsi="Times New Roman"/>
          <w:sz w:val="24"/>
          <w:szCs w:val="24"/>
        </w:rPr>
        <w:t xml:space="preserve">3,790</w:t>
      </w:r>
      <w:r>
        <w:rPr>
          <w:rFonts w:ascii="David" w:cs="David" w:eastAsia="David" w:hAnsi="David"/>
          <w:sz w:val="24"/>
          <w:szCs w:val="24"/>
          <w:rtl/>
        </w:rPr>
        <w:t xml:space="preserve"> כלואים פליליים בגירים, </w:t>
      </w:r>
      <w:r>
        <w:rPr>
          <w:rFonts w:ascii="Times New Roman" w:cs="Times New Roman" w:eastAsia="Times New Roman" w:hAnsi="Times New Roman"/>
          <w:sz w:val="24"/>
          <w:szCs w:val="24"/>
        </w:rPr>
        <w:t xml:space="preserve">2,363</w:t>
      </w:r>
      <w:r>
        <w:rPr>
          <w:rFonts w:ascii="David" w:cs="David" w:eastAsia="David" w:hAnsi="David"/>
          <w:sz w:val="24"/>
          <w:szCs w:val="24"/>
          <w:rtl/>
        </w:rPr>
        <w:t xml:space="preserve"> שפוטים ו</w:t>
      </w:r>
      <w:r>
        <w:rPr>
          <w:rFonts w:ascii="Times New Roman" w:cs="Times New Roman" w:eastAsia="Times New Roman" w:hAnsi="Times New Roman"/>
          <w:sz w:val="24"/>
          <w:szCs w:val="24"/>
        </w:rPr>
        <w:t xml:space="preserve">-1,427</w:t>
      </w:r>
      <w:r>
        <w:rPr>
          <w:rFonts w:ascii="David" w:cs="David" w:eastAsia="David" w:hAnsi="David"/>
          <w:sz w:val="24"/>
          <w:szCs w:val="24"/>
          <w:rtl/>
        </w:rPr>
        <w:t xml:space="preserve"> עצורים, שהם </w:t>
      </w:r>
      <w:r>
        <w:rPr>
          <w:rFonts w:ascii="Times New Roman" w:cs="Times New Roman" w:eastAsia="Times New Roman" w:hAnsi="Times New Roman"/>
          <w:sz w:val="24"/>
          <w:szCs w:val="24"/>
        </w:rPr>
        <w:t xml:space="preserve">41</w:t>
      </w:r>
      <w:r>
        <w:rPr>
          <w:rFonts w:ascii="David" w:cs="David" w:eastAsia="David" w:hAnsi="David"/>
          <w:sz w:val="24"/>
          <w:szCs w:val="24"/>
          <w:rtl/>
        </w:rPr>
        <w:t xml:space="preserve"> אחוזים מכל הכלואים שהיו במצבת האסירים הפעילה באותה עת. השאלונים הועברו על ידי </w:t>
      </w:r>
      <w:r>
        <w:rPr>
          <w:rFonts w:ascii="Times New Roman" w:cs="Times New Roman" w:eastAsia="Times New Roman" w:hAnsi="Times New Roman"/>
          <w:sz w:val="24"/>
          <w:szCs w:val="24"/>
        </w:rPr>
        <w:t xml:space="preserve">196</w:t>
      </w:r>
      <w:r>
        <w:rPr>
          <w:rFonts w:ascii="David" w:cs="David" w:eastAsia="David" w:hAnsi="David"/>
          <w:sz w:val="24"/>
          <w:szCs w:val="24"/>
          <w:rtl/>
        </w:rPr>
        <w:t xml:space="preserve"> מנהלי אגפים וקציני חינוך, ההשתתפות הייתה אנונימית ורצונית, והמחקר אושר על ידי ועדת האתיקה של שירות בתי הסוהר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הקובץ הסינתטי כולל </w:t>
      </w:r>
      <w:r>
        <w:rPr>
          <w:rFonts w:ascii="Times New Roman" w:cs="Times New Roman" w:eastAsia="Times New Roman" w:hAnsi="Times New Roman"/>
          <w:sz w:val="24"/>
          <w:szCs w:val="24"/>
        </w:rPr>
        <w:t xml:space="preserve">3,790</w:t>
      </w:r>
      <w:r>
        <w:rPr>
          <w:rFonts w:ascii="David" w:cs="David" w:eastAsia="David" w:hAnsi="David"/>
          <w:sz w:val="24"/>
          <w:szCs w:val="24"/>
          <w:rtl/>
        </w:rPr>
        <w:t xml:space="preserve"> שורות, מהן </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שפוטים ו</w:t>
      </w:r>
      <w:r>
        <w:rPr>
          <w:rFonts w:ascii="Times New Roman" w:cs="Times New Roman" w:eastAsia="Times New Roman" w:hAnsi="Times New Roman"/>
          <w:sz w:val="24"/>
          <w:szCs w:val="24"/>
        </w:rPr>
        <w:t xml:space="preserve">-1,411</w:t>
      </w:r>
      <w:r>
        <w:rPr>
          <w:rFonts w:ascii="David" w:cs="David" w:eastAsia="David" w:hAnsi="David"/>
          <w:sz w:val="24"/>
          <w:szCs w:val="24"/>
          <w:rtl/>
        </w:rPr>
        <w:t xml:space="preserve"> עצורים; הפער הקטן מהמספרים שפורסמו נובע מתהליך הסינתזה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המחקר הנוכחי כולל את השפוטים בלבד </w:t>
      </w:r>
      <w:r>
        <w:rPr>
          <w:rFonts w:ascii="Times New Roman" w:cs="Times New Roman" w:eastAsia="Times New Roman" w:hAnsi="Times New Roman"/>
          <w:sz w:val="24"/>
          <w:szCs w:val="24"/>
        </w:rPr>
        <w:t xml:space="preserve">(N = 2,379)</w:t>
      </w:r>
      <w:r>
        <w:rPr>
          <w:rFonts w:ascii="David" w:cs="David" w:eastAsia="David" w:hAnsi="David"/>
          <w:sz w:val="24"/>
          <w:szCs w:val="24"/>
          <w:rtl/>
        </w:rPr>
        <w:t xml:space="preserve">. רובם המכריע גברים (</w:t>
      </w:r>
      <w:r>
        <w:rPr>
          <w:rFonts w:ascii="Times New Roman" w:cs="Times New Roman" w:eastAsia="Times New Roman" w:hAnsi="Times New Roman"/>
          <w:sz w:val="24"/>
          <w:szCs w:val="24"/>
        </w:rPr>
        <w:t xml:space="preserve">2,302,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96.8</w:t>
      </w:r>
      <w:r>
        <w:rPr>
          <w:rFonts w:ascii="David" w:cs="David" w:eastAsia="David" w:hAnsi="David"/>
          <w:sz w:val="24"/>
          <w:szCs w:val="24"/>
          <w:rtl/>
        </w:rPr>
        <w:t xml:space="preserve"> אחוזים) ומיעוטם נשים (</w:t>
      </w:r>
      <w:r>
        <w:rPr>
          <w:rFonts w:ascii="Times New Roman" w:cs="Times New Roman" w:eastAsia="Times New Roman" w:hAnsi="Times New Roman"/>
          <w:sz w:val="24"/>
          <w:szCs w:val="24"/>
        </w:rPr>
        <w:t xml:space="preserve">77,</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3.2</w:t>
      </w:r>
      <w:r>
        <w:rPr>
          <w:rFonts w:ascii="David" w:cs="David" w:eastAsia="David" w:hAnsi="David"/>
          <w:sz w:val="24"/>
          <w:szCs w:val="24"/>
          <w:rtl/>
        </w:rPr>
        <w:t xml:space="preserve"> אחוזים). הגיל הממוצע </w:t>
      </w:r>
      <w:r>
        <w:rPr>
          <w:rFonts w:ascii="Times New Roman" w:cs="Times New Roman" w:eastAsia="Times New Roman" w:hAnsi="Times New Roman"/>
          <w:sz w:val="24"/>
          <w:szCs w:val="24"/>
        </w:rPr>
        <w:t xml:space="preserve">37.9</w:t>
      </w:r>
      <w:r>
        <w:rPr>
          <w:rFonts w:ascii="David" w:cs="David" w:eastAsia="David" w:hAnsi="David"/>
          <w:sz w:val="24"/>
          <w:szCs w:val="24"/>
          <w:rtl/>
        </w:rPr>
        <w:t xml:space="preserve"> שנים (סטיית תקן </w:t>
      </w:r>
      <w:r>
        <w:rPr>
          <w:rFonts w:ascii="Times New Roman" w:cs="Times New Roman" w:eastAsia="Times New Roman" w:hAnsi="Times New Roman"/>
          <w:sz w:val="24"/>
          <w:szCs w:val="24"/>
        </w:rPr>
        <w:t xml:space="preserve">12.0</w:t>
      </w:r>
      <w:r>
        <w:rPr>
          <w:rFonts w:ascii="David" w:cs="David" w:eastAsia="David" w:hAnsi="David"/>
          <w:sz w:val="24"/>
          <w:szCs w:val="24"/>
          <w:rtl/>
        </w:rPr>
        <w:t xml:space="preserve">), בטווח של </w:t>
      </w:r>
      <w:r>
        <w:rPr>
          <w:rFonts w:ascii="Times New Roman" w:cs="Times New Roman" w:eastAsia="Times New Roman" w:hAnsi="Times New Roman"/>
          <w:sz w:val="24"/>
          <w:szCs w:val="24"/>
        </w:rPr>
        <w:t xml:space="preserve">18</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82.</w:t>
      </w:r>
      <w:r>
        <w:rPr>
          <w:rFonts w:ascii="David" w:cs="David" w:eastAsia="David" w:hAnsi="David"/>
          <w:sz w:val="24"/>
          <w:szCs w:val="24"/>
          <w:rtl/>
        </w:rPr>
        <w:t xml:space="preserve"> מעט יותר ממחצית (</w:t>
      </w:r>
      <w:r>
        <w:rPr>
          <w:rFonts w:ascii="Times New Roman" w:cs="Times New Roman" w:eastAsia="Times New Roman" w:hAnsi="Times New Roman"/>
          <w:sz w:val="24"/>
          <w:szCs w:val="24"/>
        </w:rPr>
        <w:t xml:space="preserve">1,243,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52.2</w:t>
      </w:r>
      <w:r>
        <w:rPr>
          <w:rFonts w:ascii="David" w:cs="David" w:eastAsia="David" w:hAnsi="David"/>
          <w:sz w:val="24"/>
          <w:szCs w:val="24"/>
          <w:rtl/>
        </w:rPr>
        <w:t xml:space="preserve"> אחוזים) לא יהודים ו</w:t>
      </w:r>
      <w:r>
        <w:rPr>
          <w:rFonts w:ascii="Times New Roman" w:cs="Times New Roman" w:eastAsia="Times New Roman" w:hAnsi="Times New Roman"/>
          <w:sz w:val="24"/>
          <w:szCs w:val="24"/>
        </w:rPr>
        <w:t xml:space="preserve">-1,136</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47.8</w:t>
      </w:r>
      <w:r>
        <w:rPr>
          <w:rFonts w:ascii="David" w:cs="David" w:eastAsia="David" w:hAnsi="David"/>
          <w:sz w:val="24"/>
          <w:szCs w:val="24"/>
          <w:rtl/>
        </w:rPr>
        <w:t xml:space="preserve"> אחוזים) יהודים. עבור </w:t>
      </w:r>
      <w:r>
        <w:rPr>
          <w:rFonts w:ascii="Times New Roman" w:cs="Times New Roman" w:eastAsia="Times New Roman" w:hAnsi="Times New Roman"/>
          <w:sz w:val="24"/>
          <w:szCs w:val="24"/>
        </w:rPr>
        <w:t xml:space="preserve">1,162</w:t>
      </w:r>
      <w:r>
        <w:rPr>
          <w:rFonts w:ascii="David" w:cs="David" w:eastAsia="David" w:hAnsi="David"/>
          <w:sz w:val="24"/>
          <w:szCs w:val="24"/>
          <w:rtl/>
        </w:rPr>
        <w:t xml:space="preserve"> מהשפוטים (</w:t>
      </w:r>
      <w:r>
        <w:rPr>
          <w:rFonts w:ascii="Times New Roman" w:cs="Times New Roman" w:eastAsia="Times New Roman" w:hAnsi="Times New Roman"/>
          <w:sz w:val="24"/>
          <w:szCs w:val="24"/>
        </w:rPr>
        <w:t xml:space="preserve">48.8</w:t>
      </w:r>
      <w:r>
        <w:rPr>
          <w:rFonts w:ascii="David" w:cs="David" w:eastAsia="David" w:hAnsi="David"/>
          <w:sz w:val="24"/>
          <w:szCs w:val="24"/>
          <w:rtl/>
        </w:rPr>
        <w:t xml:space="preserve"> אחוזים) זהו המאסר הראשון, </w:t>
      </w:r>
      <w:r>
        <w:rPr>
          <w:rFonts w:ascii="Times New Roman" w:cs="Times New Roman" w:eastAsia="Times New Roman" w:hAnsi="Times New Roman"/>
          <w:sz w:val="24"/>
          <w:szCs w:val="24"/>
        </w:rPr>
        <w:t xml:space="preserve">528</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22.2</w:t>
      </w:r>
      <w:r>
        <w:rPr>
          <w:rFonts w:ascii="David" w:cs="David" w:eastAsia="David" w:hAnsi="David"/>
          <w:sz w:val="24"/>
          <w:szCs w:val="24"/>
          <w:rtl/>
        </w:rPr>
        <w:t xml:space="preserve"> אחוזים) במאסרם השני ו</w:t>
      </w:r>
      <w:r>
        <w:rPr>
          <w:rFonts w:ascii="Times New Roman" w:cs="Times New Roman" w:eastAsia="Times New Roman" w:hAnsi="Times New Roman"/>
          <w:sz w:val="24"/>
          <w:szCs w:val="24"/>
        </w:rPr>
        <w:t xml:space="preserve">-689</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29.0</w:t>
      </w:r>
      <w:r>
        <w:rPr>
          <w:rFonts w:ascii="David" w:cs="David" w:eastAsia="David" w:hAnsi="David"/>
          <w:sz w:val="24"/>
          <w:szCs w:val="24"/>
          <w:rtl/>
        </w:rPr>
        <w:t xml:space="preserve"> אחוזים) במאסר שלישי ומעלה. רוב השפוטים (</w:t>
      </w:r>
      <w:r>
        <w:rPr>
          <w:rFonts w:ascii="Times New Roman" w:cs="Times New Roman" w:eastAsia="Times New Roman" w:hAnsi="Times New Roman"/>
          <w:sz w:val="24"/>
          <w:szCs w:val="24"/>
        </w:rPr>
        <w:t xml:space="preserve">1,624,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68.3</w:t>
      </w:r>
      <w:r>
        <w:rPr>
          <w:rFonts w:ascii="David" w:cs="David" w:eastAsia="David" w:hAnsi="David"/>
          <w:sz w:val="24"/>
          <w:szCs w:val="24"/>
          <w:rtl/>
        </w:rPr>
        <w:t xml:space="preserve"> אחוזים) שוהים באגף הנוכחי יותר משלושה חודשים, </w:t>
      </w:r>
      <w:r>
        <w:rPr>
          <w:rFonts w:ascii="Times New Roman" w:cs="Times New Roman" w:eastAsia="Times New Roman" w:hAnsi="Times New Roman"/>
          <w:sz w:val="24"/>
          <w:szCs w:val="24"/>
        </w:rPr>
        <w:t xml:space="preserve">480</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20.2</w:t>
      </w:r>
      <w:r>
        <w:rPr>
          <w:rFonts w:ascii="David" w:cs="David" w:eastAsia="David" w:hAnsi="David"/>
          <w:sz w:val="24"/>
          <w:szCs w:val="24"/>
          <w:rtl/>
        </w:rPr>
        <w:t xml:space="preserve"> אחוזים) בין חודש לשלושה חודשים, </w:t>
      </w:r>
      <w:r>
        <w:rPr>
          <w:rFonts w:ascii="Times New Roman" w:cs="Times New Roman" w:eastAsia="Times New Roman" w:hAnsi="Times New Roman"/>
          <w:sz w:val="24"/>
          <w:szCs w:val="24"/>
        </w:rPr>
        <w:t xml:space="preserve">219</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9.2</w:t>
      </w:r>
      <w:r>
        <w:rPr>
          <w:rFonts w:ascii="David" w:cs="David" w:eastAsia="David" w:hAnsi="David"/>
          <w:sz w:val="24"/>
          <w:szCs w:val="24"/>
          <w:rtl/>
        </w:rPr>
        <w:t xml:space="preserve"> אחוזים) בין שבוע לחודש ו</w:t>
      </w:r>
      <w:r>
        <w:rPr>
          <w:rFonts w:ascii="Times New Roman" w:cs="Times New Roman" w:eastAsia="Times New Roman" w:hAnsi="Times New Roman"/>
          <w:sz w:val="24"/>
          <w:szCs w:val="24"/>
        </w:rPr>
        <w:t xml:space="preserve">-56</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2.4</w:t>
      </w:r>
      <w:r>
        <w:rPr>
          <w:rFonts w:ascii="David" w:cs="David" w:eastAsia="David" w:hAnsi="David"/>
          <w:sz w:val="24"/>
          <w:szCs w:val="24"/>
          <w:rtl/>
        </w:rPr>
        <w:t xml:space="preserve"> אחוזים) פחות משבוע. </w:t>
      </w:r>
      <w:r>
        <w:rPr>
          <w:rFonts w:ascii="Times New Roman" w:cs="Times New Roman" w:eastAsia="Times New Roman" w:hAnsi="Times New Roman"/>
          <w:sz w:val="24"/>
          <w:szCs w:val="24"/>
        </w:rPr>
        <w:t xml:space="preserve">486</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20.4</w:t>
      </w:r>
      <w:r>
        <w:rPr>
          <w:rFonts w:ascii="David" w:cs="David" w:eastAsia="David" w:hAnsi="David"/>
          <w:sz w:val="24"/>
          <w:szCs w:val="24"/>
          <w:rtl/>
        </w:rPr>
        <w:t xml:space="preserve"> אחוזים) נמצאים במסלול שיקום. ההתפלגות המלאה מובאת בלוח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בפרק הממצאים.</w:t>
      </w:r>
    </w:p>
    <w:p>
      <w:pPr>
        <w:pStyle w:val="Heading2"/>
        <w:keepNext/>
        <w:bidi/>
        <w:spacing w:after="120" w:before="240" w:line="360"/>
        <w:jc w:val="right"/>
      </w:pPr>
      <w:r>
        <w:rPr>
          <w:rFonts w:ascii="David" w:cs="David" w:eastAsia="David" w:hAnsi="David"/>
          <w:b/>
          <w:bCs/>
          <w:sz w:val="28"/>
          <w:szCs w:val="28"/>
          <w:rtl/>
        </w:rPr>
        <w:t xml:space="preserve">כלי המחקר</w:t>
      </w:r>
    </w:p>
    <w:p>
      <w:pPr>
        <w:bidi/>
        <w:spacing w:after="120" w:line="360"/>
        <w:ind w:firstLine="567"/>
        <w:jc w:val="both"/>
      </w:pPr>
      <w:r>
        <w:rPr>
          <w:rFonts w:ascii="David" w:cs="David" w:eastAsia="David" w:hAnsi="David"/>
          <w:sz w:val="24"/>
          <w:szCs w:val="24"/>
          <w:rtl/>
        </w:rPr>
        <w:t xml:space="preserve">כלי המחקר הוא שאלון הדיווח העצמי של סקר תנאי המחיה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השאלון נבנה על בסיס שאלון אקלים בית הסוהר של מחקר "החיים במשמורת" </w:t>
      </w:r>
      <w:r>
        <w:rPr>
          <w:rFonts w:ascii="Times New Roman" w:cs="Times New Roman" w:eastAsia="Times New Roman" w:hAnsi="Times New Roman"/>
          <w:sz w:val="24"/>
          <w:szCs w:val="24"/>
        </w:rPr>
        <w:t xml:space="preserve">(Life in Custody)</w:t>
      </w:r>
      <w:r>
        <w:rPr>
          <w:rFonts w:ascii="David" w:cs="David" w:eastAsia="David" w:hAnsi="David"/>
          <w:sz w:val="24"/>
          <w:szCs w:val="24"/>
          <w:rtl/>
        </w:rPr>
        <w:t xml:space="preserve"> ההולנדי, הכולל </w:t>
      </w:r>
      <w:r>
        <w:rPr>
          <w:rFonts w:ascii="Times New Roman" w:cs="Times New Roman" w:eastAsia="Times New Roman" w:hAnsi="Times New Roman"/>
          <w:sz w:val="24"/>
          <w:szCs w:val="24"/>
        </w:rPr>
        <w:t xml:space="preserve">136</w:t>
      </w:r>
      <w:r>
        <w:rPr>
          <w:rFonts w:ascii="David" w:cs="David" w:eastAsia="David" w:hAnsi="David"/>
          <w:sz w:val="24"/>
          <w:szCs w:val="24"/>
          <w:rtl/>
        </w:rPr>
        <w:t xml:space="preserve"> פריטים בשישה תחומים: אוטונומיה, ביטחון, יחסים בבית הסוהר, קשר עם העולם שבחוץ, פעילויות משמעותיות ותנאים פיזיים </w:t>
      </w:r>
      <w:r>
        <w:rPr>
          <w:rFonts w:ascii="Times New Roman" w:cs="Times New Roman" w:eastAsia="Times New Roman" w:hAnsi="Times New Roman"/>
          <w:sz w:val="24"/>
          <w:szCs w:val="24"/>
        </w:rPr>
        <w:t xml:space="preserve">(Van Ginneken et al., 2019)</w:t>
      </w:r>
      <w:r>
        <w:rPr>
          <w:rFonts w:ascii="David" w:cs="David" w:eastAsia="David" w:hAnsi="David"/>
          <w:sz w:val="24"/>
          <w:szCs w:val="24"/>
          <w:rtl/>
        </w:rPr>
        <w:t xml:space="preserve">. לפי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מהימנויות הנושאים בשאלון המקורי נעו בין </w:t>
      </w:r>
      <w:r>
        <w:rPr>
          <w:rFonts w:ascii="Times New Roman" w:cs="Times New Roman" w:eastAsia="Times New Roman" w:hAnsi="Times New Roman"/>
          <w:sz w:val="24"/>
          <w:szCs w:val="24"/>
        </w:rPr>
        <w:t xml:space="preserve">0.78</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-0.90.</w:t>
      </w:r>
      <w:r>
        <w:rPr>
          <w:rFonts w:ascii="David" w:cs="David" w:eastAsia="David" w:hAnsi="David"/>
          <w:sz w:val="24"/>
          <w:szCs w:val="24"/>
          <w:rtl/>
        </w:rPr>
        <w:t xml:space="preserve"> לצורך הסקר הישראלי נבחרו </w:t>
      </w:r>
      <w:r>
        <w:rPr>
          <w:rFonts w:ascii="Times New Roman" w:cs="Times New Roman" w:eastAsia="Times New Roman" w:hAnsi="Times New Roman"/>
          <w:sz w:val="24"/>
          <w:szCs w:val="24"/>
        </w:rPr>
        <w:t xml:space="preserve">39</w:t>
      </w:r>
      <w:r>
        <w:rPr>
          <w:rFonts w:ascii="David" w:cs="David" w:eastAsia="David" w:hAnsi="David"/>
          <w:sz w:val="24"/>
          <w:szCs w:val="24"/>
          <w:rtl/>
        </w:rPr>
        <w:t xml:space="preserve"> פריטים בתשעה נושאים, השאלות תורגמו לאנגלית ותורגמו בחזרה לעברית כדי לבדוק את תוקף התרגום, והוספו שאלות המתאימות לשירות בתי הסוהר. כל הפריטים נמדדים בסולם ליקרט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(שביעות רצון או הסכמה נמוכה מאוד)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(גבוהה מאוד). מהימנויות תשעת הנושאים בסקר המקורי נעו בין </w:t>
      </w:r>
      <w:r>
        <w:rPr>
          <w:rFonts w:ascii="Times New Roman" w:cs="Times New Roman" w:eastAsia="Times New Roman" w:hAnsi="Times New Roman"/>
          <w:sz w:val="24"/>
          <w:szCs w:val="24"/>
        </w:rPr>
        <w:t xml:space="preserve">0.70</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-0.91</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המחקר הנוכחי משתמש בשניים מהנושאים ובמשתני רקע.</w:t>
      </w:r>
    </w:p>
    <w:p>
      <w:pPr>
        <w:bidi/>
        <w:spacing w:after="120" w:line="360"/>
        <w:ind w:firstLine="567"/>
        <w:jc w:val="both"/>
      </w:pPr>
      <w:r>
        <w:rPr>
          <w:rFonts w:ascii="David" w:cs="David" w:eastAsia="David" w:hAnsi="David"/>
          <w:sz w:val="24"/>
          <w:szCs w:val="24"/>
          <w:rtl/>
        </w:rPr>
        <w:t xml:space="preserve">לגיטימיות של הסגל. הסולם כולל שלושה פריטים: "אני יכול לדבר עם הסוהרים באגף אם אני מודאג או עצוב", "הסוהרים באגף מתייחסים אליי בכבוד" ו"אני מרוצה מהטיפול בבקשות שלי". שלושת הפריטים מבטאים שלושה מרכיבים של צדק פרוצדורלי במודל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נגישות ומתן קול, יחס מכבד, והוגנות בטיפול בבקשות. בסקר המקורי מהימנות הסולם הייתה </w:t>
      </w:r>
      <w:r>
        <w:rPr>
          <w:rFonts w:ascii="Times New Roman" w:cs="Times New Roman" w:eastAsia="Times New Roman" w:hAnsi="Times New Roman"/>
          <w:sz w:val="24"/>
          <w:szCs w:val="24"/>
        </w:rPr>
        <w:t xml:space="preserve">0.72</w:t>
      </w:r>
      <w:r>
        <w:rPr>
          <w:rFonts w:ascii="David" w:cs="David" w:eastAsia="David" w:hAnsi="David"/>
          <w:sz w:val="24"/>
          <w:szCs w:val="24"/>
          <w:rtl/>
        </w:rPr>
        <w:t xml:space="preserve"> ובקובץ הסינתטי </w:t>
      </w:r>
      <w:r>
        <w:rPr>
          <w:rFonts w:ascii="Times New Roman" w:cs="Times New Roman" w:eastAsia="Times New Roman" w:hAnsi="Times New Roman"/>
          <w:sz w:val="24"/>
          <w:szCs w:val="24"/>
        </w:rPr>
        <w:t xml:space="preserve">0.67</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ציון המשתנה הוא ממוצע הפריטים, המחושב כאשר נענו לפחות שניים מהשלושה, וציון גבוה מבטא לגיטימיות גבוהה.</w:t>
      </w:r>
    </w:p>
    <w:p>
      <w:pPr>
        <w:bidi/>
        <w:spacing w:after="120" w:line="360"/>
        <w:ind w:firstLine="567"/>
        <w:jc w:val="both"/>
      </w:pPr>
      <w:r>
        <w:rPr>
          <w:rFonts w:ascii="David" w:cs="David" w:eastAsia="David" w:hAnsi="David"/>
          <w:sz w:val="24"/>
          <w:szCs w:val="24"/>
          <w:rtl/>
        </w:rPr>
        <w:t xml:space="preserve">רווחה נפשית. הסולם כולל חמישה פריטים: "באופן כללי, הבריאות שלי השתפרה מאז כניסתי למאסר", "הבריאות הגופנית שלי טובה", "הבריאות הנפשית שלי טובה", "עד כמה הרגשת שמח במהלך החודש האחרון" ו"עד כמה הרגשת מרוצה מהחיים בחודש האחרון". בסקר המקורי מהימנות הסולם הייתה </w:t>
      </w:r>
      <w:r>
        <w:rPr>
          <w:rFonts w:ascii="Times New Roman" w:cs="Times New Roman" w:eastAsia="Times New Roman" w:hAnsi="Times New Roman"/>
          <w:sz w:val="24"/>
          <w:szCs w:val="24"/>
        </w:rPr>
        <w:t xml:space="preserve">0.85</w:t>
      </w:r>
      <w:r>
        <w:rPr>
          <w:rFonts w:ascii="David" w:cs="David" w:eastAsia="David" w:hAnsi="David"/>
          <w:sz w:val="24"/>
          <w:szCs w:val="24"/>
          <w:rtl/>
        </w:rPr>
        <w:t xml:space="preserve"> ובקובץ הסינתטי </w:t>
      </w:r>
      <w:r>
        <w:rPr>
          <w:rFonts w:ascii="Times New Roman" w:cs="Times New Roman" w:eastAsia="Times New Roman" w:hAnsi="Times New Roman"/>
          <w:sz w:val="24"/>
          <w:szCs w:val="24"/>
        </w:rPr>
        <w:t xml:space="preserve">0.82</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ציון המשתנה הוא ממוצע הפריטים, המחושב כאשר נענו לפחות שלושה מהחמישה, וציון גבוה מבטא רווחה גבוהה. אין בסולם פריטים הפוכים.</w:t>
      </w:r>
    </w:p>
    <w:p>
      <w:pPr>
        <w:bidi/>
        <w:spacing w:after="120" w:line="360"/>
        <w:ind w:firstLine="567"/>
        <w:jc w:val="both"/>
      </w:pPr>
      <w:r>
        <w:rPr>
          <w:rFonts w:ascii="David" w:cs="David" w:eastAsia="David" w:hAnsi="David"/>
          <w:sz w:val="24"/>
          <w:szCs w:val="24"/>
          <w:rtl/>
        </w:rPr>
        <w:t xml:space="preserve">משתני רקע לתיאור האוכלוסייה. מגדר, גיל בשנים וקבוצת גיל, לאום בשתי קטגוריות (יהודים ולא יהודים), מספר המאסרים כשפוט בשלוש קטגוריות (מאסר ראשון, שני, שלישי ומעלה), ותק באגף בארבע קטגוריות והשתתפות במסלול שיקום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ניתוחים סטטיסטיים</w:t>
      </w:r>
    </w:p>
    <w:p>
      <w:pPr>
        <w:bidi/>
        <w:spacing w:after="120" w:line="360"/>
        <w:ind w:firstLine="567"/>
        <w:jc w:val="both"/>
      </w:pPr>
      <w:r>
        <w:rPr>
          <w:rFonts w:ascii="David" w:cs="David" w:eastAsia="David" w:hAnsi="David"/>
          <w:sz w:val="24"/>
          <w:szCs w:val="24"/>
          <w:rtl/>
        </w:rPr>
        <w:t xml:space="preserve">הנתונים נותחו בתוכנת </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בשלב הראשון סוננו השפוטים בלבד ונבדקה התפלגות סוג האסיר ומשתני הרקע של האוכלוסייה. בשלב השני חושבה סטטיסטיקה תיאורית לשמונת הפריטים ונבדקה מהימנות שני הסולמות באמצעות אלפא של קרונבך, ולאחר מכן חושבו ציוני הסולמות ונבדקו התפלגויותיהם, כולל מבחני נורמליות. בשלב השלישי חושב מתאם פירסון בין הרווחה הנפשית ללגיטימיות, ובשל ההתפלגות המוטה של הלגיטימיות חושב גם מתאם ספירמן, וכן מתאמים בין כל פריט לגיטימיות לבין הרווחה. לבסוף חולקו השפוטים לשלוש רמות לגיטימיות והושוו ממוצעי הרווחה הנפשית ביניהן. רמת המובהקות שנקבעה היא </w:t>
      </w:r>
      <w:r>
        <w:rPr>
          <w:rFonts w:ascii="Times New Roman" w:cs="Times New Roman" w:eastAsia="Times New Roman" w:hAnsi="Times New Roman"/>
          <w:sz w:val="24"/>
          <w:szCs w:val="24"/>
        </w:rPr>
        <w:t xml:space="preserve">p &lt; 0.05</w:t>
      </w:r>
      <w:r>
        <w:rPr>
          <w:rFonts w:ascii="David" w:cs="David" w:eastAsia="David" w:hAnsi="David"/>
          <w:sz w:val="24"/>
          <w:szCs w:val="24"/>
          <w:rtl/>
        </w:rPr>
        <w:t xml:space="preserve">. הפלטים המרכזיים מובאים בנספח א'.</w:t>
      </w:r>
    </w:p>
    <w:p>
      <w:pPr>
        <w:pStyle w:val="Heading1"/>
        <w:pageBreakBefore/>
        <w:bidi/>
        <w:spacing w:after="240" w:before="0" w:line="360"/>
        <w:jc w:val="right"/>
      </w:pPr>
      <w:r>
        <w:rPr>
          <w:rFonts w:ascii="David" w:cs="David" w:eastAsia="David" w:hAnsi="David"/>
          <w:b/>
          <w:bCs/>
          <w:sz w:val="32"/>
          <w:szCs w:val="32"/>
          <w:rtl/>
        </w:rPr>
        <w:t xml:space="preserve">ממצאים</w:t>
      </w:r>
    </w:p>
    <w:p>
      <w:pPr>
        <w:bidi/>
        <w:spacing w:after="120" w:line="360"/>
        <w:ind w:firstLine="567"/>
        <w:jc w:val="both"/>
      </w:pPr>
      <w:r>
        <w:rPr>
          <w:rFonts w:ascii="David" w:cs="David" w:eastAsia="David" w:hAnsi="David"/>
          <w:sz w:val="24"/>
          <w:szCs w:val="24"/>
          <w:rtl/>
        </w:rPr>
        <w:t xml:space="preserve">הפרק מציג את הממצאים בסדר הניתוחים: תיאור האוכלוסייה, סטטיסטיקה תיאורית של הפריטים, מהימנות הסולמות, ממוצעי הסולמות, ולבסוף המתאם בין רווחה נפשית ללגיטימיות והצגת הממצא. כל ניתוח מוצג בלוח ואחריו הסבר מילולי.</w:t>
      </w:r>
    </w:p>
    <w:p>
      <w:pPr>
        <w:pStyle w:val="Heading2"/>
        <w:keepNext/>
        <w:bidi/>
        <w:spacing w:after="120" w:before="240" w:line="360"/>
        <w:jc w:val="right"/>
      </w:pPr>
      <w:r>
        <w:rPr>
          <w:rFonts w:ascii="David" w:cs="David" w:eastAsia="David" w:hAnsi="David"/>
          <w:b/>
          <w:bCs/>
          <w:sz w:val="28"/>
          <w:szCs w:val="28"/>
          <w:rtl/>
        </w:rPr>
        <w:t xml:space="preserve">אוכלוסיית המחקר</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מציג את התפלגות סוג האסיר בקובץ המלא, שממנו נגזרה אוכלוסיית המחקר.</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1</w:t>
      </w:r>
      <w:r>
        <w:rPr>
          <w:rFonts w:ascii="David" w:cs="David" w:eastAsia="David" w:hAnsi="David"/>
          <w:b/>
          <w:bCs/>
          <w:sz w:val="24"/>
          <w:szCs w:val="24"/>
          <w:rtl/>
        </w:rPr>
        <w:t xml:space="preserve">: התפלגות סוג האסיר בקובץ הסינתטי המלא</w:t>
      </w:r>
    </w:p>
    <w:tbl>
      <w:tblPr>
        <w:bidiVisual/>
        <w:tblW w:type="dxa" w:w="6400"/>
        <w:tblBorders>
          <w:top w:val="single" w:color="000000" w:sz="4"/>
          <w:left w:val="none" w:color="FFFFFF" w:sz="0"/>
          <w:bottom w:val="single" w:color="000000" w:sz="4"/>
          <w:right w:val="none" w:color="FFFFFF" w:sz="0"/>
          <w:insideH w:val="none" w:color="FFFFFF" w:sz="0"/>
          <w:insideV w:val="none" w:color="FFFFFF" w:sz="0"/>
        </w:tblBorders>
      </w:tblPr>
      <w:tblGrid>
        <w:gridCol w:w="3200"/>
        <w:gridCol w:w="1600"/>
        <w:gridCol w:w="1600"/>
      </w:tblGrid>
      <w:tr>
        <w:trPr>
          <w:cantSplit/>
          <w:tblHeader/>
        </w:trPr>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סוג האסיר</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עצורים פליליים</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37.2</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שפוטים פליליים</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62.8</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סה"כ</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3,790</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100.0</w:t>
            </w:r>
          </w:p>
        </w:tc>
      </w:tr>
    </w:tbl>
    <w:p>
      <w:pPr>
        <w:bidi/>
        <w:spacing w:after="200" w:before="60" w:line="276"/>
        <w:jc w:val="right"/>
      </w:pP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עולה כי כמעט שני שלישים מהמשיבים הם שפוטים, בדומה לשיעור של </w:t>
      </w:r>
      <w:r>
        <w:rPr>
          <w:rFonts w:ascii="Times New Roman" w:cs="Times New Roman" w:eastAsia="Times New Roman" w:hAnsi="Times New Roman"/>
          <w:sz w:val="24"/>
          <w:szCs w:val="24"/>
        </w:rPr>
        <w:t xml:space="preserve">62.3</w:t>
      </w:r>
      <w:r>
        <w:rPr>
          <w:rFonts w:ascii="David" w:cs="David" w:eastAsia="David" w:hAnsi="David"/>
          <w:sz w:val="24"/>
          <w:szCs w:val="24"/>
          <w:rtl/>
        </w:rPr>
        <w:t xml:space="preserve"> אחוזים בסקר המקורי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כל הניתוחים מכאן ואילך נערכו על </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השפוטים בלבד. לוח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מציג את מאפייני הרקע שלהם.</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2</w:t>
      </w:r>
      <w:r>
        <w:rPr>
          <w:rFonts w:ascii="David" w:cs="David" w:eastAsia="David" w:hAnsi="David"/>
          <w:b/>
          <w:bCs/>
          <w:sz w:val="24"/>
          <w:szCs w:val="24"/>
          <w:rtl/>
        </w:rPr>
        <w:t xml:space="preserve">: מאפייני הרקע של השפוטים </w:t>
      </w:r>
      <w:r>
        <w:rPr>
          <w:rFonts w:ascii="Times New Roman" w:cs="Times New Roman" w:eastAsia="Times New Roman" w:hAnsi="Times New Roman"/>
          <w:b/>
          <w:bCs/>
          <w:sz w:val="24"/>
          <w:szCs w:val="24"/>
        </w:rPr>
        <w:t xml:space="preserve">(N = 2,379)</w:t>
      </w:r>
    </w:p>
    <w:tbl>
      <w:tblPr>
        <w:bidiVisual/>
        <w:tblW w:type="dxa" w:w="80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2800"/>
        <w:gridCol w:w="1300"/>
        <w:gridCol w:w="13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משתנה</w:t>
            </w:r>
          </w:p>
        </w:tc>
        <w:tc>
          <w:tcPr>
            <w:tcW w:type="dxa" w:w="2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קטגוריה</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מגדר</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גברים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2,302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96.8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נשים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לאום</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יהודים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47.8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לא יהודים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1,243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52.2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קבוצת גיל</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18</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683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28.7</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30</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39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734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30.9</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40</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59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847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35.6</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60</w:t>
            </w:r>
            <w:r>
              <w:rPr>
                <w:rFonts w:ascii="David" w:cs="David" w:eastAsia="David" w:hAnsi="David"/>
                <w:b w:val="false"/>
                <w:bCs w:val="false"/>
                <w:sz w:val="22"/>
                <w:szCs w:val="22"/>
                <w:rtl/>
              </w:rPr>
              <w:t xml:space="preserve"> ויותר</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מספר מאסרים כשפוט</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מאסר ראשון</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שני מאסרים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528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22.2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שלושה ויותר</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689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29.0</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ותק באגף</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פחות משבוע</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2.4</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שבוע עד חודש</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219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9.2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חודש עד שלושה חודשים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20.2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מעל שלושה חודשים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1,624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68.3</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במסלול שיקום</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כן</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20.4</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לא</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1,893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79.6</w:t>
            </w:r>
          </w:p>
        </w:tc>
      </w:tr>
    </w:tbl>
    <w:p>
      <w:pPr>
        <w:bidi/>
        <w:spacing w:after="200" w:before="60" w:line="276"/>
        <w:jc w:val="right"/>
      </w:pP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ניתן ללמוד כי אוכלוסיית השפוטים היא בעיקרה גברים בגילי </w:t>
      </w:r>
      <w:r>
        <w:rPr>
          <w:rFonts w:ascii="Times New Roman" w:cs="Times New Roman" w:eastAsia="Times New Roman" w:hAnsi="Times New Roman"/>
          <w:sz w:val="24"/>
          <w:szCs w:val="24"/>
        </w:rPr>
        <w:t xml:space="preserve">30</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59,</w:t>
      </w:r>
      <w:r>
        <w:rPr>
          <w:rFonts w:ascii="David" w:cs="David" w:eastAsia="David" w:hAnsi="David"/>
          <w:sz w:val="24"/>
          <w:szCs w:val="24"/>
          <w:rtl/>
        </w:rPr>
        <w:t xml:space="preserve"> מחולקת כמעט שווה בשווה בין יהודים ללא יהודים. כמחצית השפוטים במאסרם הראשון, ולמעלה ממחציתם ריצו מאסר קודם. יותר משני שלישים שוהים באגף הנוכחי מעל שלושה חודשים, וכאחד מכל חמישה נמצא במסלול שיקום. חלוקה זו דומה לזו שדווחה בסקר המקורי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סטטיסטיקה תיאורית של הפריטים</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3</w:t>
      </w:r>
      <w:r>
        <w:rPr>
          <w:rFonts w:ascii="David" w:cs="David" w:eastAsia="David" w:hAnsi="David"/>
          <w:sz w:val="24"/>
          <w:szCs w:val="24"/>
          <w:rtl/>
        </w:rPr>
        <w:t xml:space="preserve"> מציג את הממוצעים, סטיות התקן ומדדי הצורה של שמונת הפריטים המרכיבים את שני הסולמות.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3</w:t>
      </w:r>
      <w:r>
        <w:rPr>
          <w:rFonts w:ascii="David" w:cs="David" w:eastAsia="David" w:hAnsi="David"/>
          <w:b/>
          <w:bCs/>
          <w:sz w:val="24"/>
          <w:szCs w:val="24"/>
          <w:rtl/>
        </w:rPr>
        <w:t xml:space="preserve">: סטטיסטיקה תיאורית של פריטי הלגיטימיות והרווחה הנפשית בקרב השפוטים</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4000"/>
        <w:gridCol w:w="1100"/>
        <w:gridCol w:w="1000"/>
        <w:gridCol w:w="1000"/>
        <w:gridCol w:w="1300"/>
      </w:tblGrid>
      <w:tr>
        <w:trPr>
          <w:cantSplit/>
          <w:tblHeader/>
        </w:trPr>
        <w:tc>
          <w:tcPr>
            <w:tcW w:type="dxa" w:w="4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פריט</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אסימטריה</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4.06</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-1.25</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2,306</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4.44</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-1.67</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2,152</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-1.58</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-1.14</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-0.66</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3.83</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-0.79</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3.58</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-0.55</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-0.70</w:t>
            </w:r>
          </w:p>
        </w:tc>
      </w:tr>
    </w:tbl>
    <w:p>
      <w:pPr>
        <w:bidi/>
        <w:spacing w:after="200" w:before="60" w:line="276"/>
        <w:jc w:val="right"/>
      </w:pPr>
      <w:r>
        <w:rPr>
          <w:rFonts w:ascii="David" w:cs="David" w:eastAsia="David" w:hAnsi="David"/>
          <w:sz w:val="20"/>
          <w:szCs w:val="20"/>
          <w:rtl/>
        </w:rPr>
        <w:t xml:space="preserve">הערה. כל הפריטים נמדדו בסולם של </w:t>
      </w:r>
      <w:r>
        <w:rPr>
          <w:rFonts w:ascii="Times New Roman" w:cs="Times New Roman" w:eastAsia="Times New Roman" w:hAnsi="Times New Roman"/>
          <w:sz w:val="20"/>
          <w:szCs w:val="20"/>
        </w:rPr>
        <w:t xml:space="preserve">1</w:t>
      </w:r>
      <w:r>
        <w:rPr>
          <w:rFonts w:ascii="David" w:cs="David" w:eastAsia="David" w:hAnsi="David"/>
          <w:sz w:val="20"/>
          <w:szCs w:val="20"/>
          <w:rtl/>
        </w:rPr>
        <w:t xml:space="preserve"> עד </w:t>
      </w:r>
      <w:r>
        <w:rPr>
          <w:rFonts w:ascii="Times New Roman" w:cs="Times New Roman" w:eastAsia="Times New Roman" w:hAnsi="Times New Roman"/>
          <w:sz w:val="20"/>
          <w:szCs w:val="20"/>
        </w:rPr>
        <w:t xml:space="preserve">5.</w:t>
      </w:r>
      <w:r>
        <w:rPr>
          <w:rFonts w:ascii="David" w:cs="David" w:eastAsia="David" w:hAnsi="David"/>
          <w:sz w:val="20"/>
          <w:szCs w:val="20"/>
          <w:rtl/>
        </w:rPr>
        <w:t xml:space="preserve"> מקור: פלט </w:t>
      </w:r>
      <w:r>
        <w:rPr>
          <w:rFonts w:ascii="Times New Roman" w:cs="Times New Roman" w:eastAsia="Times New Roman" w:hAnsi="Times New Roman"/>
          <w:sz w:val="20"/>
          <w:szCs w:val="20"/>
        </w:rPr>
        <w:t xml:space="preserve">Frequencies</w:t>
      </w:r>
      <w:r>
        <w:rPr>
          <w:rFonts w:ascii="David" w:cs="David" w:eastAsia="David" w:hAnsi="David"/>
          <w:sz w:val="20"/>
          <w:szCs w:val="20"/>
          <w:rtl/>
        </w:rPr>
        <w:t xml:space="preserve">, נספח א'.</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3</w:t>
      </w:r>
      <w:r>
        <w:rPr>
          <w:rFonts w:ascii="David" w:cs="David" w:eastAsia="David" w:hAnsi="David"/>
          <w:sz w:val="24"/>
          <w:szCs w:val="24"/>
          <w:rtl/>
        </w:rPr>
        <w:t xml:space="preserve"> עולה כי שלושת פריטי הלגיטימיות מקבלים ממוצעים גבוהים, והגבוה שבהם הוא היחס המכבד של הסוהרים (</w:t>
      </w:r>
      <w:r>
        <w:rPr>
          <w:rFonts w:ascii="Times New Roman" w:cs="Times New Roman" w:eastAsia="Times New Roman" w:hAnsi="Times New Roman"/>
          <w:sz w:val="24"/>
          <w:szCs w:val="24"/>
        </w:rPr>
        <w:t xml:space="preserve">4.44</w:t>
      </w:r>
      <w:r>
        <w:rPr>
          <w:rFonts w:ascii="David" w:cs="David" w:eastAsia="David" w:hAnsi="David"/>
          <w:sz w:val="24"/>
          <w:szCs w:val="24"/>
          <w:rtl/>
        </w:rPr>
        <w:t xml:space="preserve">). ההתפלגויות מוטות שמאלה, כלומר רוב השפוטים מרוכזים בקצה הגבוה של הסולם. פריטי הרווחה הנפשית נמוכים יותר ומפוזרים יותר: הנמוך שבהם הוא תחושת השמחה בחודש האחרון (</w:t>
      </w:r>
      <w:r>
        <w:rPr>
          <w:rFonts w:ascii="Times New Roman" w:cs="Times New Roman" w:eastAsia="Times New Roman" w:hAnsi="Times New Roman"/>
          <w:sz w:val="24"/>
          <w:szCs w:val="24"/>
        </w:rPr>
        <w:t xml:space="preserve">3.58</w:t>
      </w:r>
      <w:r>
        <w:rPr>
          <w:rFonts w:ascii="David" w:cs="David" w:eastAsia="David" w:hAnsi="David"/>
          <w:sz w:val="24"/>
          <w:szCs w:val="24"/>
          <w:rtl/>
        </w:rPr>
        <w:t xml:space="preserve">), ורק פריט אחד, השיפור בבריאות מאז המאסר, מתקרב לרמת פריטי הלגיטימיות. ממוצעים אלו קרובים מאוד לאלו שדווחו לאגפים הפליליים בסקר המקורי, שם נע ממוצע פריטי הלגיטימיות בין </w:t>
      </w:r>
      <w:r>
        <w:rPr>
          <w:rFonts w:ascii="Times New Roman" w:cs="Times New Roman" w:eastAsia="Times New Roman" w:hAnsi="Times New Roman"/>
          <w:sz w:val="24"/>
          <w:szCs w:val="24"/>
        </w:rPr>
        <w:t xml:space="preserve">4.0</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-4.4</w:t>
      </w:r>
      <w:r>
        <w:rPr>
          <w:rFonts w:ascii="David" w:cs="David" w:eastAsia="David" w:hAnsi="David"/>
          <w:sz w:val="24"/>
          <w:szCs w:val="24"/>
          <w:rtl/>
        </w:rPr>
        <w:t xml:space="preserve"> וממוצע פריטי הבריאות והרווחה בין </w:t>
      </w:r>
      <w:r>
        <w:rPr>
          <w:rFonts w:ascii="Times New Roman" w:cs="Times New Roman" w:eastAsia="Times New Roman" w:hAnsi="Times New Roman"/>
          <w:sz w:val="24"/>
          <w:szCs w:val="24"/>
        </w:rPr>
        <w:t xml:space="preserve">3.6</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-4.0</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לפריט הטיפול בבקשות </w:t>
      </w:r>
      <w:r>
        <w:rPr>
          <w:rFonts w:ascii="Times New Roman" w:cs="Times New Roman" w:eastAsia="Times New Roman" w:hAnsi="Times New Roman"/>
          <w:sz w:val="24"/>
          <w:szCs w:val="24"/>
        </w:rPr>
        <w:t xml:space="preserve">227</w:t>
      </w:r>
      <w:r>
        <w:rPr>
          <w:rFonts w:ascii="David" w:cs="David" w:eastAsia="David" w:hAnsi="David"/>
          <w:sz w:val="24"/>
          <w:szCs w:val="24"/>
          <w:rtl/>
        </w:rPr>
        <w:t xml:space="preserve"> ערכים חסרים, כנראה משום שלא כל השפוטים הגישו בקשות בתקופת ההתייחסות.</w:t>
      </w:r>
    </w:p>
    <w:p>
      <w:pPr>
        <w:pStyle w:val="Heading2"/>
        <w:keepNext/>
        <w:bidi/>
        <w:spacing w:after="120" w:before="240" w:line="360"/>
        <w:jc w:val="right"/>
      </w:pPr>
      <w:r>
        <w:rPr>
          <w:rFonts w:ascii="David" w:cs="David" w:eastAsia="David" w:hAnsi="David"/>
          <w:b/>
          <w:bCs/>
          <w:sz w:val="28"/>
          <w:szCs w:val="28"/>
          <w:rtl/>
        </w:rPr>
        <w:t xml:space="preserve">מהימנות הסולמות</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4</w:t>
      </w:r>
      <w:r>
        <w:rPr>
          <w:rFonts w:ascii="David" w:cs="David" w:eastAsia="David" w:hAnsi="David"/>
          <w:sz w:val="24"/>
          <w:szCs w:val="24"/>
          <w:rtl/>
        </w:rPr>
        <w:t xml:space="preserve"> מציג את הרכב שני הסולמות, מקדמי אלפא של קרונבך ומתאמי הפריט עם יתר הסולם.</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4</w:t>
      </w:r>
      <w:r>
        <w:rPr>
          <w:rFonts w:ascii="David" w:cs="David" w:eastAsia="David" w:hAnsi="David"/>
          <w:b/>
          <w:bCs/>
          <w:sz w:val="24"/>
          <w:szCs w:val="24"/>
          <w:rtl/>
        </w:rPr>
        <w:t xml:space="preserve">: הרכב הסולמות ומהימנותם</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3900"/>
        <w:gridCol w:w="1700"/>
        <w:gridCol w:w="1500"/>
        <w:gridCol w:w="1300"/>
      </w:tblGrid>
      <w:tr>
        <w:trPr>
          <w:cantSplit/>
          <w:tblHeader/>
        </w:trPr>
        <w:tc>
          <w:tcPr>
            <w:tcW w:type="dxa" w:w="3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סולם ופריטים</w:t>
            </w:r>
          </w:p>
        </w:tc>
        <w:tc>
          <w:tcPr>
            <w:tcW w:type="dxa" w:w="1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מתאם פריט-סולם מתוקן</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α אם הפריט מוסר</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α של הסולם</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w:t>
            </w:r>
            <w:r>
              <w:rPr>
                <w:rFonts w:ascii="Times New Roman" w:cs="Times New Roman" w:eastAsia="Times New Roman" w:hAnsi="Times New Roman"/>
                <w:b w:val="false"/>
                <w:bCs w:val="false"/>
                <w:sz w:val="22"/>
                <w:szCs w:val="22"/>
              </w:rPr>
              <w:t xml:space="preserve">3</w:t>
            </w:r>
            <w:r>
              <w:rPr>
                <w:rFonts w:ascii="David" w:cs="David" w:eastAsia="David" w:hAnsi="David"/>
                <w:b w:val="false"/>
                <w:bCs w:val="false"/>
                <w:sz w:val="22"/>
                <w:szCs w:val="22"/>
                <w:rtl/>
              </w:rPr>
              <w:t xml:space="preserve"> פריטים, </w:t>
            </w:r>
            <w:r>
              <w:rPr>
                <w:rFonts w:ascii="Times New Roman" w:cs="Times New Roman" w:eastAsia="Times New Roman" w:hAnsi="Times New Roman"/>
                <w:b w:val="false"/>
                <w:bCs w:val="false"/>
                <w:sz w:val="22"/>
                <w:szCs w:val="22"/>
              </w:rPr>
              <w:t xml:space="preserve">n = 2,114</w:t>
            </w:r>
            <w:r>
              <w:rPr>
                <w:rFonts w:ascii="David" w:cs="David" w:eastAsia="David" w:hAnsi="David"/>
                <w:b w:val="false"/>
                <w:bCs w:val="false"/>
                <w:sz w:val="22"/>
                <w:szCs w:val="22"/>
                <w:rtl/>
              </w:rPr>
              <w:t xml:space="preserve">)</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0.67</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0.51</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0.57</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0.40</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 (</w:t>
            </w:r>
            <w:r>
              <w:rPr>
                <w:rFonts w:ascii="Times New Roman" w:cs="Times New Roman" w:eastAsia="Times New Roman" w:hAnsi="Times New Roman"/>
                <w:b w:val="false"/>
                <w:bCs w:val="false"/>
                <w:sz w:val="22"/>
                <w:szCs w:val="22"/>
              </w:rPr>
              <w:t xml:space="preserve">5</w:t>
            </w:r>
            <w:r>
              <w:rPr>
                <w:rFonts w:ascii="David" w:cs="David" w:eastAsia="David" w:hAnsi="David"/>
                <w:b w:val="false"/>
                <w:bCs w:val="false"/>
                <w:sz w:val="22"/>
                <w:szCs w:val="22"/>
                <w:rtl/>
              </w:rPr>
              <w:t xml:space="preserve"> פריטים, </w:t>
            </w:r>
            <w:r>
              <w:rPr>
                <w:rFonts w:ascii="Times New Roman" w:cs="Times New Roman" w:eastAsia="Times New Roman" w:hAnsi="Times New Roman"/>
                <w:b w:val="false"/>
                <w:bCs w:val="false"/>
                <w:sz w:val="22"/>
                <w:szCs w:val="22"/>
              </w:rPr>
              <w:t xml:space="preserve">n = 2,379</w:t>
            </w:r>
            <w:r>
              <w:rPr>
                <w:rFonts w:ascii="David" w:cs="David" w:eastAsia="David" w:hAnsi="David"/>
                <w:b w:val="false"/>
                <w:bCs w:val="false"/>
                <w:sz w:val="22"/>
                <w:szCs w:val="22"/>
                <w:rtl/>
              </w:rPr>
              <w:t xml:space="preserve">)</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0.81</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0.47</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0.63</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0.62</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0.54</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bl>
    <w:p>
      <w:pPr>
        <w:bidi/>
        <w:spacing w:after="200" w:before="60" w:line="276"/>
        <w:jc w:val="right"/>
      </w:pPr>
      <w:r>
        <w:rPr>
          <w:rFonts w:ascii="David" w:cs="David" w:eastAsia="David" w:hAnsi="David"/>
          <w:sz w:val="20"/>
          <w:szCs w:val="20"/>
          <w:rtl/>
        </w:rPr>
        <w:t xml:space="preserve">הערה. מתאמים בין פריטי הלגיטימיות: </w:t>
      </w:r>
      <w:r>
        <w:rPr>
          <w:rFonts w:ascii="Times New Roman" w:cs="Times New Roman" w:eastAsia="Times New Roman" w:hAnsi="Times New Roman"/>
          <w:sz w:val="20"/>
          <w:szCs w:val="20"/>
        </w:rPr>
        <w:t xml:space="preserve">0.55</w:t>
      </w:r>
      <w:r>
        <w:rPr>
          <w:rFonts w:ascii="David" w:cs="David" w:eastAsia="David" w:hAnsi="David"/>
          <w:sz w:val="20"/>
          <w:szCs w:val="20"/>
          <w:rtl/>
        </w:rPr>
        <w:t xml:space="preserve"> (דיבור עם סוהרים וכבוד), </w:t>
      </w:r>
      <w:r>
        <w:rPr>
          <w:rFonts w:ascii="Times New Roman" w:cs="Times New Roman" w:eastAsia="Times New Roman" w:hAnsi="Times New Roman"/>
          <w:sz w:val="20"/>
          <w:szCs w:val="20"/>
        </w:rPr>
        <w:t xml:space="preserve">0.33</w:t>
      </w:r>
      <w:r>
        <w:rPr>
          <w:rFonts w:ascii="David" w:cs="David" w:eastAsia="David" w:hAnsi="David"/>
          <w:sz w:val="20"/>
          <w:szCs w:val="20"/>
          <w:rtl/>
        </w:rPr>
        <w:t xml:space="preserve"> (דיבור ובקשות), </w:t>
      </w:r>
      <w:r>
        <w:rPr>
          <w:rFonts w:ascii="Times New Roman" w:cs="Times New Roman" w:eastAsia="Times New Roman" w:hAnsi="Times New Roman"/>
          <w:sz w:val="20"/>
          <w:szCs w:val="20"/>
        </w:rPr>
        <w:t xml:space="preserve">0.37</w:t>
      </w:r>
      <w:r>
        <w:rPr>
          <w:rFonts w:ascii="David" w:cs="David" w:eastAsia="David" w:hAnsi="David"/>
          <w:sz w:val="20"/>
          <w:szCs w:val="20"/>
          <w:rtl/>
        </w:rPr>
        <w:t xml:space="preserve"> (כבוד ובקשות). מקור: פלט </w:t>
      </w:r>
      <w:r>
        <w:rPr>
          <w:rFonts w:ascii="Times New Roman" w:cs="Times New Roman" w:eastAsia="Times New Roman" w:hAnsi="Times New Roman"/>
          <w:sz w:val="20"/>
          <w:szCs w:val="20"/>
        </w:rPr>
        <w:t xml:space="preserve">Reliability</w:t>
      </w:r>
      <w:r>
        <w:rPr>
          <w:rFonts w:ascii="David" w:cs="David" w:eastAsia="David" w:hAnsi="David"/>
          <w:sz w:val="20"/>
          <w:szCs w:val="20"/>
          <w:rtl/>
        </w:rPr>
        <w:t xml:space="preserve">, נספח א'.</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4</w:t>
      </w:r>
      <w:r>
        <w:rPr>
          <w:rFonts w:ascii="David" w:cs="David" w:eastAsia="David" w:hAnsi="David"/>
          <w:sz w:val="24"/>
          <w:szCs w:val="24"/>
          <w:rtl/>
        </w:rPr>
        <w:t xml:space="preserve"> ניתן ללמוד כי סולם הרווחה הנפשית מהימן (α = </w:t>
      </w:r>
      <w:r>
        <w:rPr>
          <w:rFonts w:ascii="Times New Roman" w:cs="Times New Roman" w:eastAsia="Times New Roman" w:hAnsi="Times New Roman"/>
          <w:sz w:val="24"/>
          <w:szCs w:val="24"/>
        </w:rPr>
        <w:t xml:space="preserve">0.81</w:t>
      </w:r>
      <w:r>
        <w:rPr>
          <w:rFonts w:ascii="David" w:cs="David" w:eastAsia="David" w:hAnsi="David"/>
          <w:sz w:val="24"/>
          <w:szCs w:val="24"/>
          <w:rtl/>
        </w:rPr>
        <w:t xml:space="preserve">), וכל פריט תורם לו: הסרת כל אחד מהפריטים הייתה מורידה את המהימנות. מהימנות סולם הלגיטימיות (α = </w:t>
      </w:r>
      <w:r>
        <w:rPr>
          <w:rFonts w:ascii="Times New Roman" w:cs="Times New Roman" w:eastAsia="Times New Roman" w:hAnsi="Times New Roman"/>
          <w:sz w:val="24"/>
          <w:szCs w:val="24"/>
        </w:rPr>
        <w:t xml:space="preserve">0.67</w:t>
      </w:r>
      <w:r>
        <w:rPr>
          <w:rFonts w:ascii="David" w:cs="David" w:eastAsia="David" w:hAnsi="David"/>
          <w:sz w:val="24"/>
          <w:szCs w:val="24"/>
          <w:rtl/>
        </w:rPr>
        <w:t xml:space="preserve">) נמוכה מעט מהסף המקובל של </w:t>
      </w:r>
      <w:r>
        <w:rPr>
          <w:rFonts w:ascii="Times New Roman" w:cs="Times New Roman" w:eastAsia="Times New Roman" w:hAnsi="Times New Roman"/>
          <w:sz w:val="24"/>
          <w:szCs w:val="24"/>
        </w:rPr>
        <w:t xml:space="preserve">0.70,</w:t>
      </w:r>
      <w:r>
        <w:rPr>
          <w:rFonts w:ascii="David" w:cs="David" w:eastAsia="David" w:hAnsi="David"/>
          <w:sz w:val="24"/>
          <w:szCs w:val="24"/>
          <w:rtl/>
        </w:rPr>
        <w:t xml:space="preserve"> אך זהה למהימנות שדווחה לקובץ הסינתטי וקרובה ל</w:t>
      </w:r>
      <w:r>
        <w:rPr>
          <w:rFonts w:ascii="Times New Roman" w:cs="Times New Roman" w:eastAsia="Times New Roman" w:hAnsi="Times New Roman"/>
          <w:sz w:val="24"/>
          <w:szCs w:val="24"/>
        </w:rPr>
        <w:t xml:space="preserve">-0.72</w:t>
      </w:r>
      <w:r>
        <w:rPr>
          <w:rFonts w:ascii="David" w:cs="David" w:eastAsia="David" w:hAnsi="David"/>
          <w:sz w:val="24"/>
          <w:szCs w:val="24"/>
          <w:rtl/>
        </w:rPr>
        <w:t xml:space="preserve"> שנמצאה בסקר המקורי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לסולם שלושה פריטים בלבד, ומקדם אלפא רגיש למספר הפריטים. שני הפריטים העוסקים ביחס הישיר של הסוהרים, האפשרות לדבר איתם והיחס המכבד, קשורים זה לזה בחוזקה (</w:t>
      </w:r>
      <w:r>
        <w:rPr>
          <w:rFonts w:ascii="Times New Roman" w:cs="Times New Roman" w:eastAsia="Times New Roman" w:hAnsi="Times New Roman"/>
          <w:sz w:val="24"/>
          <w:szCs w:val="24"/>
        </w:rPr>
        <w:t xml:space="preserve">0.55</w:t>
      </w:r>
      <w:r>
        <w:rPr>
          <w:rFonts w:ascii="David" w:cs="David" w:eastAsia="David" w:hAnsi="David"/>
          <w:sz w:val="24"/>
          <w:szCs w:val="24"/>
          <w:rtl/>
        </w:rPr>
        <w:t xml:space="preserve">), ואילו פריט הטיפול בבקשות קשור אליהם פחות, והסרתו הייתה מעלה את האלפא ל</w:t>
      </w:r>
      <w:r>
        <w:rPr>
          <w:rFonts w:ascii="Times New Roman" w:cs="Times New Roman" w:eastAsia="Times New Roman" w:hAnsi="Times New Roman"/>
          <w:sz w:val="24"/>
          <w:szCs w:val="24"/>
        </w:rPr>
        <w:t xml:space="preserve">-0.69.</w:t>
      </w:r>
      <w:r>
        <w:rPr>
          <w:rFonts w:ascii="David" w:cs="David" w:eastAsia="David" w:hAnsi="David"/>
          <w:sz w:val="24"/>
          <w:szCs w:val="24"/>
          <w:rtl/>
        </w:rPr>
        <w:t xml:space="preserve"> הוחלט להשאירו, משום שהטיפול בבקשות הוא ליבת ההוגנות הפרוצדורלית במודל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ומשום שכך נבנה הסולם בפרסום המקורי.</w:t>
      </w:r>
    </w:p>
    <w:p>
      <w:pPr>
        <w:pStyle w:val="Heading2"/>
        <w:keepNext/>
        <w:bidi/>
        <w:spacing w:after="120" w:before="240" w:line="360"/>
        <w:jc w:val="right"/>
      </w:pPr>
      <w:r>
        <w:rPr>
          <w:rFonts w:ascii="David" w:cs="David" w:eastAsia="David" w:hAnsi="David"/>
          <w:b/>
          <w:bCs/>
          <w:sz w:val="28"/>
          <w:szCs w:val="28"/>
          <w:rtl/>
        </w:rPr>
        <w:t xml:space="preserve">ממוצעי הסולמות</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מציג את הסטטיסטיקה התיאורית של שני ציוני הסולמות.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5</w:t>
      </w:r>
      <w:r>
        <w:rPr>
          <w:rFonts w:ascii="David" w:cs="David" w:eastAsia="David" w:hAnsi="David"/>
          <w:b/>
          <w:bCs/>
          <w:sz w:val="24"/>
          <w:szCs w:val="24"/>
          <w:rtl/>
        </w:rPr>
        <w:t xml:space="preserve">: סטטיסטיקה תיאורית של ציוני הלגיטימיות והרווחה הנפשית (שפוטים)</w:t>
      </w:r>
    </w:p>
    <w:tbl>
      <w:tblPr>
        <w:bidiVisual/>
        <w:tblW w:type="dxa" w:w="8800"/>
        <w:tblBorders>
          <w:top w:val="single" w:color="000000" w:sz="4"/>
          <w:left w:val="none" w:color="FFFFFF" w:sz="0"/>
          <w:bottom w:val="single" w:color="000000" w:sz="4"/>
          <w:right w:val="none" w:color="FFFFFF" w:sz="0"/>
          <w:insideH w:val="none" w:color="FFFFFF" w:sz="0"/>
          <w:insideV w:val="none" w:color="FFFFFF" w:sz="0"/>
        </w:tblBorders>
      </w:tblPr>
      <w:tblGrid>
        <w:gridCol w:w="2400"/>
        <w:gridCol w:w="1000"/>
        <w:gridCol w:w="900"/>
        <w:gridCol w:w="900"/>
        <w:gridCol w:w="1200"/>
        <w:gridCol w:w="1200"/>
        <w:gridCol w:w="1200"/>
      </w:tblGrid>
      <w:tr>
        <w:trPr>
          <w:cantSplit/>
          <w:tblHeader/>
        </w:trPr>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משתנה</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טווח</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אסימטריה</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גבנוניות</w:t>
            </w:r>
          </w:p>
        </w:tc>
      </w:tr>
      <w:tr>
        <w:trPr>
          <w:cantSplit/>
        </w:trPr>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1</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0.94</w:t>
            </w:r>
          </w:p>
        </w:tc>
      </w:tr>
      <w:tr>
        <w:trPr>
          <w:cantSplit/>
        </w:trPr>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1</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-0.01</w:t>
            </w:r>
          </w:p>
        </w:tc>
      </w:tr>
    </w:tbl>
    <w:p>
      <w:pPr>
        <w:bidi/>
        <w:spacing w:after="200" w:before="60" w:line="276"/>
        <w:jc w:val="right"/>
      </w:pPr>
      <w:r>
        <w:rPr>
          <w:rFonts w:ascii="David" w:cs="David" w:eastAsia="David" w:hAnsi="David"/>
          <w:sz w:val="20"/>
          <w:szCs w:val="20"/>
          <w:rtl/>
        </w:rPr>
        <w:t xml:space="preserve">הערה. מבחני קולמוגורוב-סמירנוב ושפירו-וילק מובהקים לשני המשתנים </w:t>
      </w:r>
      <w:r>
        <w:rPr>
          <w:rFonts w:ascii="Times New Roman" w:cs="Times New Roman" w:eastAsia="Times New Roman" w:hAnsi="Times New Roman"/>
          <w:sz w:val="20"/>
          <w:szCs w:val="20"/>
        </w:rPr>
        <w:t xml:space="preserve">(p &lt; 0.001)</w:t>
      </w:r>
      <w:r>
        <w:rPr>
          <w:rFonts w:ascii="David" w:cs="David" w:eastAsia="David" w:hAnsi="David"/>
          <w:sz w:val="20"/>
          <w:szCs w:val="20"/>
          <w:rtl/>
        </w:rPr>
        <w:t xml:space="preserve">. מקור: פלטי </w:t>
      </w:r>
      <w:r>
        <w:rPr>
          <w:rFonts w:ascii="Times New Roman" w:cs="Times New Roman" w:eastAsia="Times New Roman" w:hAnsi="Times New Roman"/>
          <w:sz w:val="20"/>
          <w:szCs w:val="20"/>
        </w:rPr>
        <w:t xml:space="preserve">Descriptives</w:t>
      </w:r>
      <w:r>
        <w:rPr>
          <w:rFonts w:ascii="David" w:cs="David" w:eastAsia="David" w:hAnsi="David"/>
          <w:sz w:val="20"/>
          <w:szCs w:val="20"/>
          <w:rtl/>
        </w:rPr>
        <w:t xml:space="preserve"> ו-</w:t>
      </w:r>
      <w:r>
        <w:rPr>
          <w:rFonts w:ascii="Times New Roman" w:cs="Times New Roman" w:eastAsia="Times New Roman" w:hAnsi="Times New Roman"/>
          <w:sz w:val="20"/>
          <w:szCs w:val="20"/>
        </w:rPr>
        <w:t xml:space="preserve">Explore</w:t>
      </w:r>
      <w:r>
        <w:rPr>
          <w:rFonts w:ascii="David" w:cs="David" w:eastAsia="David" w:hAnsi="David"/>
          <w:sz w:val="20"/>
          <w:szCs w:val="20"/>
          <w:rtl/>
        </w:rPr>
        <w:t xml:space="preserve">, נספח א'.</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עולה כי ממוצע הלגיטימיות (</w:t>
      </w:r>
      <w:r>
        <w:rPr>
          <w:rFonts w:ascii="Times New Roman" w:cs="Times New Roman" w:eastAsia="Times New Roman" w:hAnsi="Times New Roman"/>
          <w:sz w:val="24"/>
          <w:szCs w:val="24"/>
        </w:rPr>
        <w:t xml:space="preserve">4.24</w:t>
      </w:r>
      <w:r>
        <w:rPr>
          <w:rFonts w:ascii="David" w:cs="David" w:eastAsia="David" w:hAnsi="David"/>
          <w:sz w:val="24"/>
          <w:szCs w:val="24"/>
          <w:rtl/>
        </w:rPr>
        <w:t xml:space="preserve">) גבוה ומתקרב לתקרת הסולם, בעוד ממוצע הרווחה הנפשית (</w:t>
      </w:r>
      <w:r>
        <w:rPr>
          <w:rFonts w:ascii="Times New Roman" w:cs="Times New Roman" w:eastAsia="Times New Roman" w:hAnsi="Times New Roman"/>
          <w:sz w:val="24"/>
          <w:szCs w:val="24"/>
        </w:rPr>
        <w:t xml:space="preserve">3.78</w:t>
      </w:r>
      <w:r>
        <w:rPr>
          <w:rFonts w:ascii="David" w:cs="David" w:eastAsia="David" w:hAnsi="David"/>
          <w:sz w:val="24"/>
          <w:szCs w:val="24"/>
          <w:rtl/>
        </w:rPr>
        <w:t xml:space="preserve">) נמוך ממנו כמעט בחצי נקודה, וסטיות התקן דומות. הממוצעים קרובים לאלו שדווחו לשפוטים בסקר המקורי, </w:t>
      </w:r>
      <w:r>
        <w:rPr>
          <w:rFonts w:ascii="Times New Roman" w:cs="Times New Roman" w:eastAsia="Times New Roman" w:hAnsi="Times New Roman"/>
          <w:sz w:val="24"/>
          <w:szCs w:val="24"/>
        </w:rPr>
        <w:t xml:space="preserve">4.28</w:t>
      </w:r>
      <w:r>
        <w:rPr>
          <w:rFonts w:ascii="David" w:cs="David" w:eastAsia="David" w:hAnsi="David"/>
          <w:sz w:val="24"/>
          <w:szCs w:val="24"/>
          <w:rtl/>
        </w:rPr>
        <w:t xml:space="preserve"> ללגיטימיות ו</w:t>
      </w:r>
      <w:r>
        <w:rPr>
          <w:rFonts w:ascii="Times New Roman" w:cs="Times New Roman" w:eastAsia="Times New Roman" w:hAnsi="Times New Roman"/>
          <w:sz w:val="24"/>
          <w:szCs w:val="24"/>
        </w:rPr>
        <w:t xml:space="preserve">-3.84</w:t>
      </w:r>
      <w:r>
        <w:rPr>
          <w:rFonts w:ascii="David" w:cs="David" w:eastAsia="David" w:hAnsi="David"/>
          <w:sz w:val="24"/>
          <w:szCs w:val="24"/>
          <w:rtl/>
        </w:rPr>
        <w:t xml:space="preserve"> לבריאות ולרווחה נפשית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התפלגות הלגיטימיות מוטה שמאלה באופן ניכר, ושני מבחני הנורמליות מובהקים. בשל גודל המדגם מבחנים אלו רגישים גם לסטיות קטנות, ומקדמי הצורה נמצאים בטווח שבו מתאם פירסון עדיין תקף, אך כדי להיות בטוחות חושב לצדו גם מתאם ספירמן.</w:t>
      </w:r>
    </w:p>
    <w:p>
      <w:pPr>
        <w:pStyle w:val="Heading2"/>
        <w:keepNext/>
        <w:bidi/>
        <w:spacing w:after="120" w:before="240" w:line="360"/>
        <w:jc w:val="right"/>
      </w:pPr>
      <w:r>
        <w:rPr>
          <w:rFonts w:ascii="David" w:cs="David" w:eastAsia="David" w:hAnsi="David"/>
          <w:b/>
          <w:bCs/>
          <w:sz w:val="28"/>
          <w:szCs w:val="28"/>
          <w:rtl/>
        </w:rPr>
        <w:t xml:space="preserve">הקשר בין רווחה נפשית ללגיטימיות</w:t>
      </w:r>
    </w:p>
    <w:p>
      <w:pPr>
        <w:bidi/>
        <w:spacing w:after="120" w:line="360"/>
        <w:ind w:firstLine="567"/>
        <w:jc w:val="both"/>
      </w:pPr>
      <w:r>
        <w:rPr>
          <w:rFonts w:ascii="David" w:cs="David" w:eastAsia="David" w:hAnsi="David"/>
          <w:sz w:val="24"/>
          <w:szCs w:val="24"/>
          <w:rtl/>
        </w:rPr>
        <w:t xml:space="preserve">כדי לבחון את השערה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חושבו מתאמי פירסון וספירמן בין ציון הרווחה הנפשית לציון הלגיטימיות, וכן מתאמי ספירמן בין הרווחה לכל אחד מפריטי הלגיטימיות. לוח </w:t>
      </w:r>
      <w:r>
        <w:rPr>
          <w:rFonts w:ascii="Times New Roman" w:cs="Times New Roman" w:eastAsia="Times New Roman" w:hAnsi="Times New Roman"/>
          <w:sz w:val="24"/>
          <w:szCs w:val="24"/>
        </w:rPr>
        <w:t xml:space="preserve">6</w:t>
      </w:r>
      <w:r>
        <w:rPr>
          <w:rFonts w:ascii="David" w:cs="David" w:eastAsia="David" w:hAnsi="David"/>
          <w:sz w:val="24"/>
          <w:szCs w:val="24"/>
          <w:rtl/>
        </w:rPr>
        <w:t xml:space="preserve"> מציג את התוצאות.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6</w:t>
      </w:r>
      <w:r>
        <w:rPr>
          <w:rFonts w:ascii="David" w:cs="David" w:eastAsia="David" w:hAnsi="David"/>
          <w:b/>
          <w:bCs/>
          <w:sz w:val="24"/>
          <w:szCs w:val="24"/>
          <w:rtl/>
        </w:rPr>
        <w:t xml:space="preserve">: מתאמים בין רווחה נפשית לבין לגיטימיות הסגל ופריטיה </w:t>
      </w:r>
      <w:r>
        <w:rPr>
          <w:rFonts w:ascii="Times New Roman" w:cs="Times New Roman" w:eastAsia="Times New Roman" w:hAnsi="Times New Roman"/>
          <w:b/>
          <w:bCs/>
          <w:sz w:val="24"/>
          <w:szCs w:val="24"/>
        </w:rPr>
        <w:t xml:space="preserve">(N = 2,344)</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4200"/>
        <w:gridCol w:w="1400"/>
        <w:gridCol w:w="1400"/>
        <w:gridCol w:w="1400"/>
      </w:tblGrid>
      <w:tr>
        <w:trPr>
          <w:cantSplit/>
          <w:tblHeader/>
        </w:trPr>
        <w:tc>
          <w:tcPr>
            <w:tcW w:type="dxa" w:w="4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משתנה</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פירסון </w:t>
            </w:r>
            <w:r>
              <w:rPr>
                <w:rFonts w:ascii="Times New Roman" w:cs="Times New Roman" w:eastAsia="Times New Roman" w:hAnsi="Times New Roman"/>
                <w:b/>
                <w:bCs/>
                <w:sz w:val="22"/>
                <w:szCs w:val="22"/>
              </w:rPr>
              <w:t xml:space="preserve">r</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ספירמן </w:t>
            </w:r>
            <w:r>
              <w:rPr>
                <w:rFonts w:ascii="Times New Roman" w:cs="Times New Roman" w:eastAsia="Times New Roman" w:hAnsi="Times New Roman"/>
                <w:b/>
                <w:bCs/>
                <w:sz w:val="22"/>
                <w:szCs w:val="22"/>
              </w:rPr>
              <w:t xml:space="preserve">rs</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p</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(ציון סולם)</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0.34</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0.29</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0.25</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0.25</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bl>
    <w:p>
      <w:pPr>
        <w:bidi/>
        <w:spacing w:after="200" w:before="60" w:line="276"/>
        <w:jc w:val="right"/>
      </w:pPr>
      <w:r>
        <w:rPr>
          <w:rFonts w:ascii="David" w:cs="David" w:eastAsia="David" w:hAnsi="David"/>
          <w:sz w:val="20"/>
          <w:szCs w:val="20"/>
          <w:rtl/>
        </w:rPr>
        <w:t xml:space="preserve">מקור: פלטי </w:t>
      </w:r>
      <w:r>
        <w:rPr>
          <w:rFonts w:ascii="Times New Roman" w:cs="Times New Roman" w:eastAsia="Times New Roman" w:hAnsi="Times New Roman"/>
          <w:sz w:val="20"/>
          <w:szCs w:val="20"/>
        </w:rPr>
        <w:t xml:space="preserve">Correlations</w:t>
      </w:r>
      <w:r>
        <w:rPr>
          <w:rFonts w:ascii="David" w:cs="David" w:eastAsia="David" w:hAnsi="David"/>
          <w:sz w:val="20"/>
          <w:szCs w:val="20"/>
          <w:rtl/>
        </w:rPr>
        <w:t xml:space="preserve"> ו-</w:t>
      </w:r>
      <w:r>
        <w:rPr>
          <w:rFonts w:ascii="Times New Roman" w:cs="Times New Roman" w:eastAsia="Times New Roman" w:hAnsi="Times New Roman"/>
          <w:sz w:val="20"/>
          <w:szCs w:val="20"/>
        </w:rPr>
        <w:t xml:space="preserve">Nonparametric Correlations</w:t>
      </w:r>
      <w:r>
        <w:rPr>
          <w:rFonts w:ascii="David" w:cs="David" w:eastAsia="David" w:hAnsi="David"/>
          <w:sz w:val="20"/>
          <w:szCs w:val="20"/>
          <w:rtl/>
        </w:rPr>
        <w:t xml:space="preserve">, נספח א'.</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6</w:t>
      </w:r>
      <w:r>
        <w:rPr>
          <w:rFonts w:ascii="David" w:cs="David" w:eastAsia="David" w:hAnsi="David"/>
          <w:sz w:val="24"/>
          <w:szCs w:val="24"/>
          <w:rtl/>
        </w:rPr>
        <w:t xml:space="preserve"> ניתן ללמוד כי נמצא קשר חיובי מובהק בעוצמה בינונית בין רווחה נפשית ללגיטימיות </w:t>
      </w:r>
      <w:r>
        <w:rPr>
          <w:rFonts w:ascii="Times New Roman" w:cs="Times New Roman" w:eastAsia="Times New Roman" w:hAnsi="Times New Roman"/>
          <w:sz w:val="24"/>
          <w:szCs w:val="24"/>
        </w:rPr>
        <w:t xml:space="preserve">(r = 0.32, p &lt; 0.001)</w:t>
      </w:r>
      <w:r>
        <w:rPr>
          <w:rFonts w:ascii="David" w:cs="David" w:eastAsia="David" w:hAnsi="David"/>
          <w:sz w:val="24"/>
          <w:szCs w:val="24"/>
          <w:rtl/>
        </w:rPr>
        <w:t xml:space="preserve">: ככל שהשפוט מדווח על רווחה נפשית גבוהה יותר, כך הוא מייחס לסגל לגיטימיות גבוהה יותר, ולהפך. מתאם ספירמן (</w:t>
      </w:r>
      <w:r>
        <w:rPr>
          <w:rFonts w:ascii="Times New Roman" w:cs="Times New Roman" w:eastAsia="Times New Roman" w:hAnsi="Times New Roman"/>
          <w:sz w:val="24"/>
          <w:szCs w:val="24"/>
        </w:rPr>
        <w:t xml:space="preserve">0.34</w:t>
      </w:r>
      <w:r>
        <w:rPr>
          <w:rFonts w:ascii="David" w:cs="David" w:eastAsia="David" w:hAnsi="David"/>
          <w:sz w:val="24"/>
          <w:szCs w:val="24"/>
          <w:rtl/>
        </w:rPr>
        <w:t xml:space="preserve">) קרוב מאוד למתאם פירסון, ומכאן שההטיה בהתפלגות הלגיטימיות אינה מעוותת את התמונה. הקשר קיים בכל שלושת הפריטים, והחזק שבהם הוא האפשרות לדבר עם הסוהרים כשמודאגים או עצובים (</w:t>
      </w:r>
      <w:r>
        <w:rPr>
          <w:rFonts w:ascii="Times New Roman" w:cs="Times New Roman" w:eastAsia="Times New Roman" w:hAnsi="Times New Roman"/>
          <w:sz w:val="24"/>
          <w:szCs w:val="24"/>
        </w:rPr>
        <w:t xml:space="preserve">0.29</w:t>
      </w:r>
      <w:r>
        <w:rPr>
          <w:rFonts w:ascii="David" w:cs="David" w:eastAsia="David" w:hAnsi="David"/>
          <w:sz w:val="24"/>
          <w:szCs w:val="24"/>
          <w:rtl/>
        </w:rPr>
        <w:t xml:space="preserve">). ממצא זה מתיישב עם עבודתו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על מתן קול כמרכיב הצדק הפרוצדורלי, ועם הממצא האוסטרלי שלפיו איכות היחסים עם הסגל היא המנגנון שדרכו צדק פרוצדורלי מתורגם לרווחה לאורך זמן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השערת המחקר אוששה. 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מציג את הקשר מזווית נוספת, ממוצע הרווחה הנפשית בשלוש רמות של לגיטימיות.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7</w:t>
      </w:r>
      <w:r>
        <w:rPr>
          <w:rFonts w:ascii="David" w:cs="David" w:eastAsia="David" w:hAnsi="David"/>
          <w:b/>
          <w:bCs/>
          <w:sz w:val="24"/>
          <w:szCs w:val="24"/>
          <w:rtl/>
        </w:rPr>
        <w:t xml:space="preserve">: ממוצע הרווחה הנפשית לפי רמת הלגיטימיות </w:t>
      </w:r>
      <w:r>
        <w:rPr>
          <w:rFonts w:ascii="Times New Roman" w:cs="Times New Roman" w:eastAsia="Times New Roman" w:hAnsi="Times New Roman"/>
          <w:b/>
          <w:bCs/>
          <w:sz w:val="24"/>
          <w:szCs w:val="24"/>
        </w:rPr>
        <w:t xml:space="preserve">(N = 2,344)</w:t>
      </w:r>
    </w:p>
    <w:tbl>
      <w:tblPr>
        <w:bidiVisual/>
        <w:tblW w:type="dxa" w:w="7600"/>
        <w:tblBorders>
          <w:top w:val="single" w:color="000000" w:sz="4"/>
          <w:left w:val="none" w:color="FFFFFF" w:sz="0"/>
          <w:bottom w:val="single" w:color="000000" w:sz="4"/>
          <w:right w:val="none" w:color="FFFFFF" w:sz="0"/>
          <w:insideH w:val="none" w:color="FFFFFF" w:sz="0"/>
          <w:insideV w:val="none" w:color="FFFFFF" w:sz="0"/>
        </w:tblBorders>
      </w:tblPr>
      <w:tblGrid>
        <w:gridCol w:w="2000"/>
        <w:gridCol w:w="2000"/>
        <w:gridCol w:w="1200"/>
        <w:gridCol w:w="1200"/>
        <w:gridCol w:w="1200"/>
      </w:tblGrid>
      <w:tr>
        <w:trPr>
          <w:cantSplit/>
          <w:tblHeader/>
        </w:trPr>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רמת לגיטימיות</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טווח ציונים</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נמוכה</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עד </w:t>
            </w:r>
            <w:r>
              <w:rPr>
                <w:rFonts w:ascii="Times New Roman" w:cs="Times New Roman" w:eastAsia="Times New Roman" w:hAnsi="Times New Roman"/>
                <w:b w:val="false"/>
                <w:bCs w:val="false"/>
                <w:sz w:val="22"/>
                <w:szCs w:val="22"/>
              </w:rPr>
              <w:t xml:space="preserve">3.50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3.34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0.87</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בינונית</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3.51</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4.50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809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גבוהה</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מעל </w:t>
            </w:r>
            <w:r>
              <w:rPr>
                <w:rFonts w:ascii="Times New Roman" w:cs="Times New Roman" w:eastAsia="Times New Roman" w:hAnsi="Times New Roman"/>
                <w:b w:val="false"/>
                <w:bCs w:val="false"/>
                <w:sz w:val="22"/>
                <w:szCs w:val="22"/>
              </w:rPr>
              <w:t xml:space="preserve">4.50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1,108</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0.84</w:t>
            </w:r>
          </w:p>
        </w:tc>
      </w:tr>
    </w:tbl>
    <w:p>
      <w:pPr>
        <w:bidi/>
        <w:spacing w:after="200" w:before="60" w:line="276"/>
        <w:jc w:val="right"/>
      </w:pP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עולה מדרג ברור: השפוטים ברמת הלגיטימיות הנמוכה מדווחים על רווחה נפשית ממוצעת של </w:t>
      </w:r>
      <w:r>
        <w:rPr>
          <w:rFonts w:ascii="Times New Roman" w:cs="Times New Roman" w:eastAsia="Times New Roman" w:hAnsi="Times New Roman"/>
          <w:sz w:val="24"/>
          <w:szCs w:val="24"/>
        </w:rPr>
        <w:t xml:space="preserve">3.34,</w:t>
      </w:r>
      <w:r>
        <w:rPr>
          <w:rFonts w:ascii="David" w:cs="David" w:eastAsia="David" w:hAnsi="David"/>
          <w:sz w:val="24"/>
          <w:szCs w:val="24"/>
          <w:rtl/>
        </w:rPr>
        <w:t xml:space="preserve"> ואילו אלו ברמה הגבוהה על </w:t>
      </w:r>
      <w:r>
        <w:rPr>
          <w:rFonts w:ascii="Times New Roman" w:cs="Times New Roman" w:eastAsia="Times New Roman" w:hAnsi="Times New Roman"/>
          <w:sz w:val="24"/>
          <w:szCs w:val="24"/>
        </w:rPr>
        <w:t xml:space="preserve">4.05,</w:t>
      </w:r>
      <w:r>
        <w:rPr>
          <w:rFonts w:ascii="David" w:cs="David" w:eastAsia="David" w:hAnsi="David"/>
          <w:sz w:val="24"/>
          <w:szCs w:val="24"/>
          <w:rtl/>
        </w:rPr>
        <w:t xml:space="preserve"> פער של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שהוא כ</w:t>
      </w:r>
      <w:r>
        <w:rPr>
          <w:rFonts w:ascii="Times New Roman" w:cs="Times New Roman" w:eastAsia="Times New Roman" w:hAnsi="Times New Roman"/>
          <w:sz w:val="24"/>
          <w:szCs w:val="24"/>
        </w:rPr>
        <w:t xml:space="preserve">-80</w:t>
      </w:r>
      <w:r>
        <w:rPr>
          <w:rFonts w:ascii="David" w:cs="David" w:eastAsia="David" w:hAnsi="David"/>
          <w:sz w:val="24"/>
          <w:szCs w:val="24"/>
          <w:rtl/>
        </w:rPr>
        <w:t xml:space="preserve"> אחוזים מסטיית תקן. לשם השוואה, אצל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המרחק בין הסף "הלא בטוח" לסף "הבטוח מינימלית" בממד יחסי הסגל והאסירים הוא חצי נקודה בלבד, ומרחק זה הבחין בין בתי סוהר עם שיעורי אלימות ופגיעה עצמית גבוהים לנמוכים.</w:t>
      </w:r>
    </w:p>
    <w:p>
      <w:pPr>
        <w:bidi/>
        <w:spacing w:after="120" w:line="360"/>
        <w:ind w:firstLine="567"/>
        <w:jc w:val="both"/>
      </w:pPr>
      <w:r>
        <w:rPr>
          <w:rFonts w:ascii="David" w:cs="David" w:eastAsia="David" w:hAnsi="David"/>
          <w:sz w:val="24"/>
          <w:szCs w:val="24"/>
          <w:rtl/>
        </w:rPr>
        <w:t xml:space="preserve">המדרג שבלוח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מאפשר גם להעריך את גודל האפקט במונחים מוכרים: מתאם של </w:t>
      </w:r>
      <w:r>
        <w:rPr>
          <w:rFonts w:ascii="Times New Roman" w:cs="Times New Roman" w:eastAsia="Times New Roman" w:hAnsi="Times New Roman"/>
          <w:sz w:val="24"/>
          <w:szCs w:val="24"/>
        </w:rPr>
        <w:t xml:space="preserve">0.32</w:t>
      </w:r>
      <w:r>
        <w:rPr>
          <w:rFonts w:ascii="David" w:cs="David" w:eastAsia="David" w:hAnsi="David"/>
          <w:sz w:val="24"/>
          <w:szCs w:val="24"/>
          <w:rtl/>
        </w:rPr>
        <w:t xml:space="preserve"> פירושו שהרווחה הנפשית והלגיטימיות חולקות כעשרה אחוזים מהשונות. זהו קשר בינוני, קרוב בעוצמתו לקשרים שנמצאו בין מאפייני האסיר ללגיטימיות באנגליה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ומצביע על כך שרוב השונות בלגיטימיות מוסברת על ידי גורמים אחרים, ובראשם ההוגנות הפרוצדורלית של הסגל עצמו.</w:t>
      </w:r>
    </w:p>
    <w:p>
      <w:pPr>
        <w:pStyle w:val="Heading1"/>
        <w:pageBreakBefore/>
        <w:bidi/>
        <w:spacing w:after="240" w:before="0" w:line="360"/>
        <w:jc w:val="right"/>
      </w:pPr>
      <w:r>
        <w:rPr>
          <w:rFonts w:ascii="David" w:cs="David" w:eastAsia="David" w:hAnsi="David"/>
          <w:b/>
          <w:bCs/>
          <w:sz w:val="32"/>
          <w:szCs w:val="32"/>
          <w:rtl/>
        </w:rPr>
        <w:t xml:space="preserve">דיון</w:t>
      </w:r>
    </w:p>
    <w:p>
      <w:pPr>
        <w:pStyle w:val="Heading2"/>
        <w:keepNext/>
        <w:bidi/>
        <w:spacing w:after="120" w:before="240" w:line="360"/>
        <w:jc w:val="right"/>
      </w:pPr>
      <w:r>
        <w:rPr>
          <w:rFonts w:ascii="David" w:cs="David" w:eastAsia="David" w:hAnsi="David"/>
          <w:b/>
          <w:bCs/>
          <w:sz w:val="28"/>
          <w:szCs w:val="28"/>
          <w:rtl/>
        </w:rPr>
        <w:t xml:space="preserve">רקע למחקר</w:t>
      </w:r>
    </w:p>
    <w:p>
      <w:pPr>
        <w:bidi/>
        <w:spacing w:after="120" w:line="360"/>
        <w:ind w:firstLine="567"/>
        <w:jc w:val="both"/>
      </w:pPr>
      <w:r>
        <w:rPr>
          <w:rFonts w:ascii="David" w:cs="David" w:eastAsia="David" w:hAnsi="David"/>
          <w:sz w:val="24"/>
          <w:szCs w:val="24"/>
          <w:rtl/>
        </w:rPr>
        <w:t xml:space="preserve">המחקר ביקש לבחון באיזו מידה קיים קשר בין רווחה נפשית לבין תפיסת הלגיטימיות של סגל הכליאה בקרב אסירים שפוטים בישראל. הוא נשען על המודל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שלפיו הציות לסמכות נובע מתפיסתה כלגיטימית, ועל ספרות ההסתגלות למאסר שתיארה את הפגיעה ברווחה הנפשית כחלק בלתי נפרד מחוויית הכליאה </w:t>
      </w:r>
      <w:r>
        <w:rPr>
          <w:rFonts w:ascii="Times New Roman" w:cs="Times New Roman" w:eastAsia="Times New Roman" w:hAnsi="Times New Roman"/>
          <w:sz w:val="24"/>
          <w:szCs w:val="24"/>
        </w:rPr>
        <w:t xml:space="preserve">(Sykes, 1958; Liebling &amp; Maruna, 2005)</w:t>
      </w:r>
      <w:r>
        <w:rPr>
          <w:rFonts w:ascii="David" w:cs="David" w:eastAsia="David" w:hAnsi="David"/>
          <w:sz w:val="24"/>
          <w:szCs w:val="24"/>
          <w:rtl/>
        </w:rPr>
        <w:t xml:space="preserve">. הנתונים נלקחו מקובץ סינתטי המבוסס על סקר תנאי המחיה של שירות בתי הסוהר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שני ממצאים עיקריים עלו. ראשית, נמצא קשר חיובי מובהק בעוצמה בינונית בין רווחה נפשית ללגיטימיות, בכל שלושת פריטי הלגיטימיות. שנית, הפער ברווחה בין השפוטים ברמת הלגיטימיות הנמוכה לאלו ברמה הגבוהה עומד על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כ</w:t>
      </w:r>
      <w:r>
        <w:rPr>
          <w:rFonts w:ascii="Times New Roman" w:cs="Times New Roman" w:eastAsia="Times New Roman" w:hAnsi="Times New Roman"/>
          <w:sz w:val="24"/>
          <w:szCs w:val="24"/>
        </w:rPr>
        <w:t xml:space="preserve">-80</w:t>
      </w:r>
      <w:r>
        <w:rPr>
          <w:rFonts w:ascii="David" w:cs="David" w:eastAsia="David" w:hAnsi="David"/>
          <w:sz w:val="24"/>
          <w:szCs w:val="24"/>
          <w:rtl/>
        </w:rPr>
        <w:t xml:space="preserve"> אחוזים מסטיית תקן. השערת המחקר אוששה. בפסקאות הבאות הממצאים נקשרים לספרות שנסקרה, לפי הנושאים המרכזיים.</w:t>
      </w:r>
    </w:p>
    <w:p>
      <w:pPr>
        <w:pStyle w:val="Heading2"/>
        <w:keepNext/>
        <w:bidi/>
        <w:spacing w:after="120" w:before="240" w:line="360"/>
        <w:jc w:val="right"/>
      </w:pPr>
      <w:r>
        <w:rPr>
          <w:rFonts w:ascii="David" w:cs="David" w:eastAsia="David" w:hAnsi="David"/>
          <w:b/>
          <w:bCs/>
          <w:sz w:val="28"/>
          <w:szCs w:val="28"/>
          <w:rtl/>
        </w:rPr>
        <w:t xml:space="preserve">רווחה נפשית ולגיטימיות</w:t>
      </w:r>
    </w:p>
    <w:p>
      <w:pPr>
        <w:bidi/>
        <w:spacing w:after="120" w:line="360"/>
        <w:ind w:firstLine="567"/>
        <w:jc w:val="both"/>
      </w:pPr>
      <w:r>
        <w:rPr>
          <w:rFonts w:ascii="David" w:cs="David" w:eastAsia="David" w:hAnsi="David"/>
          <w:sz w:val="24"/>
          <w:szCs w:val="24"/>
          <w:rtl/>
        </w:rPr>
        <w:t xml:space="preserve">הקשר החיובי שנמצא עולה בקנה אחד עם המחקר ההולנדי, שבו יחס הוגן מצד הסוהרים ניבא פחות בעיות נפשיות בהמשך המאסר </w:t>
      </w:r>
      <w:r>
        <w:rPr>
          <w:rFonts w:ascii="Times New Roman" w:cs="Times New Roman" w:eastAsia="Times New Roman" w:hAnsi="Times New Roman"/>
          <w:sz w:val="24"/>
          <w:szCs w:val="24"/>
        </w:rPr>
        <w:t xml:space="preserve">(Beijersbergen et al., 2014)</w:t>
      </w:r>
      <w:r>
        <w:rPr>
          <w:rFonts w:ascii="David" w:cs="David" w:eastAsia="David" w:hAnsi="David"/>
          <w:sz w:val="24"/>
          <w:szCs w:val="24"/>
          <w:rtl/>
        </w:rPr>
        <w:t xml:space="preserve">, ועם המחקר האוסטרלי, שבו צדק פרוצדורלי ניבא רווחה גבוהה יותר דרך איכות היחסים עם הסגל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הממצא ההולנדי שלפיו יחסי הסגל לא ניבאו רווחה כאשר האוטונומיה נכללה במודל </w:t>
      </w:r>
      <w:r>
        <w:rPr>
          <w:rFonts w:ascii="Times New Roman" w:cs="Times New Roman" w:eastAsia="Times New Roman" w:hAnsi="Times New Roman"/>
          <w:sz w:val="24"/>
          <w:szCs w:val="24"/>
        </w:rPr>
        <w:t xml:space="preserve">(Van Ginneken et al., 2019)</w:t>
      </w:r>
      <w:r>
        <w:rPr>
          <w:rFonts w:ascii="David" w:cs="David" w:eastAsia="David" w:hAnsi="David"/>
          <w:sz w:val="24"/>
          <w:szCs w:val="24"/>
          <w:rtl/>
        </w:rPr>
        <w:t xml:space="preserve"> מרמז שהמנגנון עובר דרך תחושת השליטה שיחס הוגן מעניק לאסיר. המחקר הנוכחי מוסיף לכך את הכיוון ההפוך: שפוטים שרווחתם הנפשית גבוהה יותר תופסים את הסגל כלגיטימי יותר. שני הכיוונים אינם סותרים. סביר שמדובר במעגל שבו יחס הוגן משפר את הרווחה, ורווחה גבוהה יותר מאפשרת לאסיר לפרש את התנהגות הסגל באור פחות עוין ולפנות אליו כשקשה לו. העובדה שהפריט הקשור ביותר לרווחה הוא דווקא האפשרות לדבר עם הסוהרים כשמודאגים או עצובים מחזקת פירוש זה, ומתיישבת עם ממצאיו של שניטקר </w:t>
      </w:r>
      <w:r>
        <w:rPr>
          <w:rFonts w:ascii="Times New Roman" w:cs="Times New Roman" w:eastAsia="Times New Roman" w:hAnsi="Times New Roman"/>
          <w:sz w:val="24"/>
          <w:szCs w:val="24"/>
        </w:rPr>
        <w:t xml:space="preserve">(Schnittker, 2025)</w:t>
      </w:r>
      <w:r>
        <w:rPr>
          <w:rFonts w:ascii="David" w:cs="David" w:eastAsia="David" w:hAnsi="David"/>
          <w:sz w:val="24"/>
          <w:szCs w:val="24"/>
          <w:rtl/>
        </w:rPr>
        <w:t xml:space="preserve"> ממחקר האורך של משוחררי כלא בבוסטון: סביבה של כבוד ואמון בין אסירים לסגל הפחיתה את חוסר האושר בשנה שאחרי השחרור, ואסירים שחוו יחסים תומכים עם הסוהרים פיתחו יחסים תומכים יותר גם בחוץ.</w:t>
      </w:r>
    </w:p>
    <w:p>
      <w:pPr>
        <w:bidi/>
        <w:spacing w:after="120" w:line="360"/>
        <w:ind w:firstLine="567"/>
        <w:jc w:val="both"/>
      </w:pPr>
      <w:r>
        <w:rPr>
          <w:rFonts w:ascii="David" w:cs="David" w:eastAsia="David" w:hAnsi="David"/>
          <w:sz w:val="24"/>
          <w:szCs w:val="24"/>
          <w:rtl/>
        </w:rPr>
        <w:t xml:space="preserve">הממצא מתיישב גם עם הטענה של ליבלינג </w:t>
      </w:r>
      <w:r>
        <w:rPr>
          <w:rFonts w:ascii="Times New Roman" w:cs="Times New Roman" w:eastAsia="Times New Roman" w:hAnsi="Times New Roman"/>
          <w:sz w:val="24"/>
          <w:szCs w:val="24"/>
        </w:rPr>
        <w:t xml:space="preserve">(Liebling, 2004)</w:t>
      </w:r>
      <w:r>
        <w:rPr>
          <w:rFonts w:ascii="David" w:cs="David" w:eastAsia="David" w:hAnsi="David"/>
          <w:sz w:val="24"/>
          <w:szCs w:val="24"/>
          <w:rtl/>
        </w:rPr>
        <w:t xml:space="preserve"> שממדים כמו כבוד, אנושיות ויחסים עם הסגל מתואמים עם רמת המצוקה של האסירים, ועם ממצאיהם של פרנקה ואחרים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 שלפיהם דלות סביבתית וחוויות שליליות הן שמכרסמות בלגיטימיות. המדרג שנמצא בלוח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פער של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ברווחה בין השפוטים ברמת הלגיטימיות הנמוכה לאלו ברמה הגבוהה, מקבל משמעות מעשית לאור הסף שזיהו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מתחת לרמה מסוימת של יחסים בין סגל לאסירים עולים באופן חד שיעורי הפגיעה העצמית והאלימות. הממצא האמריקני שלפיו צדק פרוצדורלי קשור לפחות מחשבות אובדניות </w:t>
      </w:r>
      <w:r>
        <w:rPr>
          <w:rFonts w:ascii="Times New Roman" w:cs="Times New Roman" w:eastAsia="Times New Roman" w:hAnsi="Times New Roman"/>
          <w:sz w:val="24"/>
          <w:szCs w:val="24"/>
        </w:rPr>
        <w:t xml:space="preserve">(Abderhalden &amp; Alward, 2024)</w:t>
      </w:r>
      <w:r>
        <w:rPr>
          <w:rFonts w:ascii="David" w:cs="David" w:eastAsia="David" w:hAnsi="David"/>
          <w:sz w:val="24"/>
          <w:szCs w:val="24"/>
          <w:rtl/>
        </w:rPr>
        <w:t xml:space="preserve"> מצביע על אותו כיוון.</w:t>
      </w:r>
    </w:p>
    <w:p>
      <w:pPr>
        <w:bidi/>
        <w:spacing w:after="120" w:line="360"/>
        <w:ind w:firstLine="567"/>
        <w:jc w:val="both"/>
      </w:pPr>
      <w:r>
        <w:rPr>
          <w:rFonts w:ascii="David" w:cs="David" w:eastAsia="David" w:hAnsi="David"/>
          <w:sz w:val="24"/>
          <w:szCs w:val="24"/>
          <w:rtl/>
        </w:rPr>
        <w:t xml:space="preserve">עוצמת הקשר, בינונית ולא גבוהה, ראויה להתייחסות. הרווחה הנפשית חולקת עם הלגיטימיות כעשרה אחוזים מהשונות, ורוב השונות מוסברת על ידי גורמים אחרים. ברנטון-סמית ומקארתי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הראו שהמנבא החזק ביותר של לגיטימיות הוא ההוגנות הפרוצדורלית עצמה, כלומר האופן שבו הסגל מקבל החלטות ומסביר אותן, ושחלק מהשונות נמצא ברמת בית הסוהר ולא ברמת האסיר. בייארסברגן ואחרים </w:t>
      </w:r>
      <w:r>
        <w:rPr>
          <w:rFonts w:ascii="Times New Roman" w:cs="Times New Roman" w:eastAsia="Times New Roman" w:hAnsi="Times New Roman"/>
          <w:sz w:val="24"/>
          <w:szCs w:val="24"/>
        </w:rPr>
        <w:t xml:space="preserve">(Beijersbergen et al., 2015)</w:t>
      </w:r>
      <w:r>
        <w:rPr>
          <w:rFonts w:ascii="David" w:cs="David" w:eastAsia="David" w:hAnsi="David"/>
          <w:sz w:val="24"/>
          <w:szCs w:val="24"/>
          <w:rtl/>
        </w:rPr>
        <w:t xml:space="preserve"> הוסיפו שמאפייני הסגל ביחידה משפיעים על תפיסת ההוגנות. בקובץ הסינתטי לא ניתן להפריד בין בתי סוהר ובין אגפים, ולכן חלק זה של השונות נותר מחוץ לניתוח. בסקר המקורי הסביר המודל </w:t>
      </w:r>
      <w:r>
        <w:rPr>
          <w:rFonts w:ascii="Times New Roman" w:cs="Times New Roman" w:eastAsia="Times New Roman" w:hAnsi="Times New Roman"/>
          <w:sz w:val="24"/>
          <w:szCs w:val="24"/>
        </w:rPr>
        <w:t xml:space="preserve">30</w:t>
      </w:r>
      <w:r>
        <w:rPr>
          <w:rFonts w:ascii="David" w:cs="David" w:eastAsia="David" w:hAnsi="David"/>
          <w:sz w:val="24"/>
          <w:szCs w:val="24"/>
          <w:rtl/>
        </w:rPr>
        <w:t xml:space="preserve"> אחוזים משביעות הרצון מפעילויות השיקום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אך שם המנבא המרכזי היה שביעות הרצון מתנאי המחיה, שהיא קרובה מושגית למשתנה המנובא יותר משהרווחה הנפשית קרובה ללגיטימיות.</w:t>
      </w:r>
    </w:p>
    <w:p>
      <w:pPr>
        <w:pStyle w:val="Heading2"/>
        <w:keepNext/>
        <w:bidi/>
        <w:spacing w:after="120" w:before="240" w:line="360"/>
        <w:jc w:val="right"/>
      </w:pPr>
      <w:r>
        <w:rPr>
          <w:rFonts w:ascii="David" w:cs="David" w:eastAsia="David" w:hAnsi="David"/>
          <w:b/>
          <w:bCs/>
          <w:sz w:val="28"/>
          <w:szCs w:val="28"/>
          <w:rtl/>
        </w:rPr>
        <w:t xml:space="preserve">לגיטימיות בהקשר הישראלי</w:t>
      </w:r>
    </w:p>
    <w:p>
      <w:pPr>
        <w:bidi/>
        <w:spacing w:after="120" w:line="360"/>
        <w:ind w:firstLine="567"/>
        <w:jc w:val="both"/>
      </w:pPr>
      <w:r>
        <w:rPr>
          <w:rFonts w:ascii="David" w:cs="David" w:eastAsia="David" w:hAnsi="David"/>
          <w:sz w:val="24"/>
          <w:szCs w:val="24"/>
          <w:rtl/>
        </w:rPr>
        <w:t xml:space="preserve">ממצאי הסקר המקורי הצביעו על הלגיטימיות כמשתנה שממתן את הקשר בין תנאי המחיה לשביעות הרצון מפעילויות השיקום, והמחבר הציע לשירות בתי הסוהר לראות בה כלי ניהולי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המחקר הנוכחי מחזק את ההצעה מכיוון אחר: לא רק תנאי המחיה הפיזיים אלא גם המצב הנפשי של השפוט קשור לאופן שבו הוא שופט את הסגל. הממוצע הגבוה של הלגיטימיות שנמצא, </w:t>
      </w:r>
      <w:r>
        <w:rPr>
          <w:rFonts w:ascii="Times New Roman" w:cs="Times New Roman" w:eastAsia="Times New Roman" w:hAnsi="Times New Roman"/>
          <w:sz w:val="24"/>
          <w:szCs w:val="24"/>
        </w:rPr>
        <w:t xml:space="preserve">4.24</w:t>
      </w:r>
      <w:r>
        <w:rPr>
          <w:rFonts w:ascii="David" w:cs="David" w:eastAsia="David" w:hAnsi="David"/>
          <w:sz w:val="24"/>
          <w:szCs w:val="24"/>
          <w:rtl/>
        </w:rPr>
        <w:t xml:space="preserve">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שונה מהתמונה בסלובניה, שם יותר ממחצית האסירים לא נתנו אמון בסגל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ייתכן שההבדל משקף מדיניות של יחס מכבד באגפים הפליליים בישראל, וייתכן שהוא משקף רצייה חברתית בשאלון שהועבר על ידי מנהלי האגפים עצמם. שני ההסברים אינם מוציאים זה את זה. ממצאי ון הול ואחרים </w:t>
      </w:r>
      <w:r>
        <w:rPr>
          <w:rFonts w:ascii="Times New Roman" w:cs="Times New Roman" w:eastAsia="Times New Roman" w:hAnsi="Times New Roman"/>
          <w:sz w:val="24"/>
          <w:szCs w:val="24"/>
        </w:rPr>
        <w:t xml:space="preserve">(van Hall et al., 2025)</w:t>
      </w:r>
      <w:r>
        <w:rPr>
          <w:rFonts w:ascii="David" w:cs="David" w:eastAsia="David" w:hAnsi="David"/>
          <w:sz w:val="24"/>
          <w:szCs w:val="24"/>
          <w:rtl/>
        </w:rPr>
        <w:t xml:space="preserve"> בדבר ה"שפיכה" של הלגיטימיות אל מחוץ לחומות מלמדים שהשקעה בלגיטימיות באגף היא גם השקעה בשיקום, וזהו בדיוק הקשר שהסקר הישראלי זיהה בין לגיטימיות לפעילויות השיקום.</w:t>
      </w:r>
    </w:p>
    <w:p>
      <w:pPr>
        <w:pStyle w:val="Heading2"/>
        <w:keepNext/>
        <w:bidi/>
        <w:spacing w:after="120" w:before="240" w:line="360"/>
        <w:jc w:val="right"/>
      </w:pPr>
      <w:r>
        <w:rPr>
          <w:rFonts w:ascii="David" w:cs="David" w:eastAsia="David" w:hAnsi="David"/>
          <w:b/>
          <w:bCs/>
          <w:sz w:val="28"/>
          <w:szCs w:val="28"/>
          <w:rtl/>
        </w:rPr>
        <w:t xml:space="preserve">השלכות יישומיות</w:t>
      </w:r>
    </w:p>
    <w:p>
      <w:pPr>
        <w:bidi/>
        <w:spacing w:after="120" w:line="360"/>
        <w:ind w:firstLine="567"/>
        <w:jc w:val="both"/>
      </w:pPr>
      <w:r>
        <w:rPr>
          <w:rFonts w:ascii="David" w:cs="David" w:eastAsia="David" w:hAnsi="David"/>
          <w:sz w:val="24"/>
          <w:szCs w:val="24"/>
          <w:rtl/>
        </w:rPr>
        <w:t xml:space="preserve">מהממצאים נגזרות כמה המלצות מעשיות. הראשונה היא סינון שגרתי של רווחה נפשית בשתי נקודות זמן, בקליטה לאגף ושלושה חודשים לאחריה, שהן נקודות הזמן שבהן נמדדה המצוקה במחקר ההולנדי </w:t>
      </w:r>
      <w:r>
        <w:rPr>
          <w:rFonts w:ascii="Times New Roman" w:cs="Times New Roman" w:eastAsia="Times New Roman" w:hAnsi="Times New Roman"/>
          <w:sz w:val="24"/>
          <w:szCs w:val="24"/>
        </w:rPr>
        <w:t xml:space="preserve">(Beijersbergen et al., 2014)</w:t>
      </w:r>
      <w:r>
        <w:rPr>
          <w:rFonts w:ascii="David" w:cs="David" w:eastAsia="David" w:hAnsi="David"/>
          <w:sz w:val="24"/>
          <w:szCs w:val="24"/>
          <w:rtl/>
        </w:rPr>
        <w:t xml:space="preserve">. חמשת פריטי הרווחה שבשאלון הנוכחי, שמהימנותם </w:t>
      </w:r>
      <w:r>
        <w:rPr>
          <w:rFonts w:ascii="Times New Roman" w:cs="Times New Roman" w:eastAsia="Times New Roman" w:hAnsi="Times New Roman"/>
          <w:sz w:val="24"/>
          <w:szCs w:val="24"/>
        </w:rPr>
        <w:t xml:space="preserve">0.81,</w:t>
      </w:r>
      <w:r>
        <w:rPr>
          <w:rFonts w:ascii="David" w:cs="David" w:eastAsia="David" w:hAnsi="David"/>
          <w:sz w:val="24"/>
          <w:szCs w:val="24"/>
          <w:rtl/>
        </w:rPr>
        <w:t xml:space="preserve"> יכולים לשמש לכך כפי שהם. השנייה נובעת מהממצא שהפריט הקשור ביותר לרווחה הוא האפשרות לדבר עם הסוהרים: לקבוע לכל סוהר אגף שעת קבלה שבועית קבועה שבה אסירים יכולים לפנות אליו שלא בדחיפות, ולתעד את הפניות. השלישית היא הכשרת סוהרי אגף בעקרונות הצדק הפרוצדורלי, לתת לאסיר לומר את דברו לפני החלטה ולהסביר את ההחלטה גם כשהיא שלילית, בהתאם למודל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הרביעית היא מדידה שנתית של הלגיטימיות והרווחה ברמת האגף באמצעות שלושת פריטי הלגיטימיות וחמשת פריטי הרווחה, כך שאגפים שבהם הציונים נמוכים מסף מוגדר, למשל </w:t>
      </w:r>
      <w:r>
        <w:rPr>
          <w:rFonts w:ascii="Times New Roman" w:cs="Times New Roman" w:eastAsia="Times New Roman" w:hAnsi="Times New Roman"/>
          <w:sz w:val="24"/>
          <w:szCs w:val="24"/>
        </w:rPr>
        <w:t xml:space="preserve">3.5,</w:t>
      </w:r>
      <w:r>
        <w:rPr>
          <w:rFonts w:ascii="David" w:cs="David" w:eastAsia="David" w:hAnsi="David"/>
          <w:sz w:val="24"/>
          <w:szCs w:val="24"/>
          <w:rtl/>
        </w:rPr>
        <w:t xml:space="preserve"> יזוהו ויקבלו ליווי, בדומה לסף שהציעו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w:t>
      </w:r>
    </w:p>
    <w:p>
      <w:pPr>
        <w:pStyle w:val="Heading1"/>
        <w:pageBreakBefore/>
        <w:bidi/>
        <w:spacing w:after="240" w:before="0" w:line="360"/>
        <w:jc w:val="right"/>
      </w:pPr>
      <w:r>
        <w:rPr>
          <w:rFonts w:ascii="David" w:cs="David" w:eastAsia="David" w:hAnsi="David"/>
          <w:b/>
          <w:bCs/>
          <w:sz w:val="32"/>
          <w:szCs w:val="32"/>
          <w:rtl/>
        </w:rPr>
        <w:t xml:space="preserve">מגבלות המחקר</w:t>
      </w:r>
    </w:p>
    <w:p>
      <w:pPr>
        <w:bidi/>
        <w:spacing w:after="120" w:line="360"/>
        <w:ind w:firstLine="567"/>
        <w:jc w:val="both"/>
      </w:pPr>
      <w:r>
        <w:rPr>
          <w:rFonts w:ascii="David" w:cs="David" w:eastAsia="David" w:hAnsi="David"/>
          <w:sz w:val="24"/>
          <w:szCs w:val="24"/>
          <w:rtl/>
        </w:rPr>
        <w:t xml:space="preserve">המגבלה הראשונה והמרכזית היא שהנתונים סינתטיים. הם נבנו על פי המבנה של סקר תנאי המחיה בשירות בתי הסוהר, אך אינם נתוני האסירים עצמם, ואומדנים מדויקים וערכי </w:t>
      </w:r>
      <w:r>
        <w:rPr>
          <w:rFonts w:ascii="Times New Roman" w:cs="Times New Roman" w:eastAsia="Times New Roman" w:hAnsi="Times New Roman"/>
          <w:sz w:val="24"/>
          <w:szCs w:val="24"/>
        </w:rPr>
        <w:t xml:space="preserve">p</w:t>
      </w:r>
      <w:r>
        <w:rPr>
          <w:rFonts w:ascii="David" w:cs="David" w:eastAsia="David" w:hAnsi="David"/>
          <w:sz w:val="24"/>
          <w:szCs w:val="24"/>
          <w:rtl/>
        </w:rPr>
        <w:t xml:space="preserve"> מושפעים מרעש הסינתזה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לכן הממצאים מלמדים על השיטה ועל אופן הניתוח, ואין להסיק מהם מסקנות ישירות על אוכלוסיית השפוטים בישראל. כל המלצה יישומית שהוצגה בדיון היא בגדר השערה שדורשת בדיקה בנתונים אמיתיים.</w:t>
      </w:r>
    </w:p>
    <w:p>
      <w:pPr>
        <w:bidi/>
        <w:spacing w:after="120" w:line="360"/>
        <w:ind w:firstLine="567"/>
        <w:jc w:val="both"/>
      </w:pPr>
      <w:r>
        <w:rPr>
          <w:rFonts w:ascii="David" w:cs="David" w:eastAsia="David" w:hAnsi="David"/>
          <w:sz w:val="24"/>
          <w:szCs w:val="24"/>
          <w:rtl/>
        </w:rPr>
        <w:t xml:space="preserve">המגבלה השנייה נוגעת למערך. המחקר הוא מחקר חתך מתאמי, ולכן אינו יכול להכריע בכיוון הקשר: האם הרווחה הנפשית משפיעה על תפיסת הלגיטימיות, האם יחס לגיטימי משפר את הרווחה, או האם משתנה שלישי כמו תנאי האגף מסביר את שניהם. המחקרים ההולנדי והאוסטרלי הראו שאפשר לענות על שאלה זו רק במערך אורך עם שתי מדידות לפחות </w:t>
      </w:r>
      <w:r>
        <w:rPr>
          <w:rFonts w:ascii="Times New Roman" w:cs="Times New Roman" w:eastAsia="Times New Roman" w:hAnsi="Times New Roman"/>
          <w:sz w:val="24"/>
          <w:szCs w:val="24"/>
        </w:rPr>
        <w:t xml:space="preserve">(Beijersbergen et al., 2014; Sargeant et al., 2026)</w:t>
      </w:r>
      <w:r>
        <w:rPr>
          <w:rFonts w:ascii="David" w:cs="David" w:eastAsia="David" w:hAnsi="David"/>
          <w:sz w:val="24"/>
          <w:szCs w:val="24"/>
          <w:rtl/>
        </w:rPr>
        <w:t xml:space="preserve">. מאחר שמדובר בניתוח משני, לא ניתן היה להוסיף פריטים לשאלון או לשלב ראיונות, ולכן לא התאפשר מחקר משולב שהיה יכול להסביר מדוע אסירים במצוקה תופסים את הסגל כפחות לגיטימי. הקובץ גם אינו מאפשר להבחין בין בתי סוהר ובין אגפים, ואילו המחקר האנגלי הראה שחלק מהשונות בלגיטימיות נמצא ברמת המוסד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המחקר גם לא פיקח על משתני רקע כמו גיל ומספר מאסרים, שעשויים להיות קשורים לשני המשתנים. לבסוף, מהימנות סולם הלגיטימיות (</w:t>
      </w:r>
      <w:r>
        <w:rPr>
          <w:rFonts w:ascii="Times New Roman" w:cs="Times New Roman" w:eastAsia="Times New Roman" w:hAnsi="Times New Roman"/>
          <w:sz w:val="24"/>
          <w:szCs w:val="24"/>
        </w:rPr>
        <w:t xml:space="preserve">0.67</w:t>
      </w:r>
      <w:r>
        <w:rPr>
          <w:rFonts w:ascii="David" w:cs="David" w:eastAsia="David" w:hAnsi="David"/>
          <w:sz w:val="24"/>
          <w:szCs w:val="24"/>
          <w:rtl/>
        </w:rPr>
        <w:t xml:space="preserve">) נמוכה מעט מהמקובל, וסולם של שלושה פריטים אינו מכסה את כל מרכיבי הצדק הפרוצדורלי.</w:t>
      </w:r>
    </w:p>
    <w:p>
      <w:pPr>
        <w:bidi/>
        <w:spacing w:after="120" w:line="360"/>
        <w:ind w:firstLine="567"/>
        <w:jc w:val="both"/>
      </w:pPr>
      <w:r>
        <w:rPr>
          <w:rFonts w:ascii="David" w:cs="David" w:eastAsia="David" w:hAnsi="David"/>
          <w:sz w:val="24"/>
          <w:szCs w:val="24"/>
          <w:rtl/>
        </w:rPr>
        <w:t xml:space="preserve">המגבלה השלישית היא היקף האוכלוסייה והמדידה. המחקר עוסק באסירים פליליים ישראלים שפוטים בלבד, ואינו מייצג עצורים, אסירים ביטחוניים או אסירות, שמספרן במדגם קטן מכדי לנתחן בנפרד. שני המשתנים נמדדו בדיווח עצמי בשאלון שהועבר על ידי מנהלי האגפים וקציני החינוך, ובסביבת כליאה יש לחשוש מרצייה חברתית ומחשש של אסירים לדווח על יחס הסגל, גם כשהשאלון אנונימי. הממוצע הגבוה של הלגיטימיות והטיית ההתפלגות שמאלה עשויים לשקף חשש כזה. האצין ומשקו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הצביעו על חוסר אמון בסגל כתופעה רווחת, וייתכן שאותו חוסר אמון משפיע גם על הנכונות להשיב בכנות.</w:t>
      </w:r>
    </w:p>
    <w:p>
      <w:pPr>
        <w:pStyle w:val="Heading1"/>
        <w:pageBreakBefore/>
        <w:bidi/>
        <w:spacing w:after="240" w:before="0" w:line="360"/>
        <w:jc w:val="right"/>
      </w:pPr>
      <w:r>
        <w:rPr>
          <w:rFonts w:ascii="David" w:cs="David" w:eastAsia="David" w:hAnsi="David"/>
          <w:b/>
          <w:bCs/>
          <w:sz w:val="32"/>
          <w:szCs w:val="32"/>
          <w:rtl/>
        </w:rPr>
        <w:t xml:space="preserve">סיכום</w:t>
      </w:r>
    </w:p>
    <w:p>
      <w:pPr>
        <w:bidi/>
        <w:spacing w:after="120" w:line="360"/>
        <w:ind w:firstLine="567"/>
        <w:jc w:val="both"/>
      </w:pPr>
      <w:r>
        <w:rPr>
          <w:rFonts w:ascii="David" w:cs="David" w:eastAsia="David" w:hAnsi="David"/>
          <w:sz w:val="24"/>
          <w:szCs w:val="24"/>
          <w:rtl/>
        </w:rPr>
        <w:t xml:space="preserve">העבודה בחנה את הקשר בין רווחה נפשית לבין תפיסת הלגיטימיות של סגל הכליאה בקרב </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אסירים שפוטים, על בסיס נתונים סינתטיים המבוססים על סקר תנאי המחיה של שירות בתי הסוהר. סקירת הספרות הציגה את המודל של הצדק הפרוצדורלי ואת ספרות ההסתגלות למאסר, ומהן נגזרה השערת המחקר. הניתוח כלל סטטיסטיקה תיאורית, בדיקת מהימנות, מתאמים והשוואת ממוצעים בין רמות לגיטימיות. נמצא קשר חיובי מובהק בעוצמה בינונית בין רווחה נפשית ללגיטימיות, בכל שלושת פריטי הסולם, ופער של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ברווחה בין רמת הלגיטימיות הנמוכה לגבוהה. הממצאים תואמים את המחקרים מהולנד, מאנגליה, מאוסטרליה ומארצות הברית, ומצביעים על כך שרווחתו הנפשית של השפוט אינה עניין טיפולי בלבד אלא מרכיב בסדר ובציות באגף. ההמלצות המעשיות, סינון רווחה נפשית בקליטה ואחריה, שעת קבלה שבועית של סוהרי האגף, הכשרה בצדק פרוצדורלי ומדידה שנתית ברמת האגף, ממתינות לבדיקה בנתונים אמיתיים ובמערך אורך.</w:t>
      </w:r>
    </w:p>
    <w:p>
      <w:pPr>
        <w:pStyle w:val="Heading1"/>
        <w:pageBreakBefore/>
        <w:bidi/>
        <w:spacing w:after="240" w:before="0" w:line="360"/>
        <w:jc w:val="right"/>
      </w:pPr>
      <w:r>
        <w:rPr>
          <w:rFonts w:ascii="David" w:cs="David" w:eastAsia="David" w:hAnsi="David"/>
          <w:b/>
          <w:bCs/>
          <w:sz w:val="32"/>
          <w:szCs w:val="32"/>
          <w:rtl/>
        </w:rPr>
        <w:t xml:space="preserve">גילוי נאות</w:t>
      </w:r>
    </w:p>
    <w:p>
      <w:pPr>
        <w:bidi/>
        <w:spacing w:after="120" w:line="360"/>
        <w:ind w:firstLine="567"/>
        <w:jc w:val="both"/>
      </w:pPr>
      <w:r>
        <w:rPr>
          <w:rFonts w:ascii="David" w:cs="David" w:eastAsia="David" w:hAnsi="David"/>
          <w:sz w:val="24"/>
          <w:szCs w:val="24"/>
          <w:rtl/>
        </w:rPr>
        <w:t xml:space="preserve">בכתיבת עבודה זו נעשה שימוש בכלי בינה מלאכותית לצורכי עריכה לשונית, עזרה בתרגום התקציר לאנגלית, עזרה בבניית הסינטקס של הניתוחים הסטטיסטיים ב-</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ועזרה באיתור מקורות. בחירת שאלות המחקר, קריאת המקורות, הרצת הניתוחים, פירוש הממצאים והמסקנות הם של הכותבות.</w:t>
      </w:r>
    </w:p>
    <w:p>
      <w:pPr>
        <w:bidi/>
        <w:spacing w:after="120" w:line="360"/>
        <w:ind w:firstLine="567"/>
        <w:jc w:val="both"/>
      </w:pPr>
      <w:r>
        <w:rPr>
          <w:rFonts w:ascii="David" w:cs="David" w:eastAsia="David" w:hAnsi="David"/>
          <w:sz w:val="24"/>
          <w:szCs w:val="24"/>
          <w:rtl/>
        </w:rPr>
        <w:t xml:space="preserve">חלוקת העבודה: </w:t>
      </w:r>
      <w:r>
        <w:rPr>
          <w:rFonts w:ascii="David" w:cs="David" w:eastAsia="David" w:hAnsi="David"/>
          <w:sz w:val="24"/>
          <w:szCs w:val="24"/>
          <w:highlight w:val="yellow"/>
          <w:rtl/>
        </w:rPr>
        <w:t xml:space="preserve">שם</w:t>
      </w:r>
      <w:r>
        <w:rPr>
          <w:rFonts w:ascii="David" w:cs="David" w:eastAsia="David" w:hAnsi="David"/>
          <w:sz w:val="24"/>
          <w:szCs w:val="24"/>
          <w:rtl/>
        </w:rPr>
        <w:t xml:space="preserve"> כתבה את המבוא ואת סקירת הספרות; </w:t>
      </w:r>
      <w:r>
        <w:rPr>
          <w:rFonts w:ascii="David" w:cs="David" w:eastAsia="David" w:hAnsi="David"/>
          <w:sz w:val="24"/>
          <w:szCs w:val="24"/>
          <w:highlight w:val="yellow"/>
          <w:rtl/>
        </w:rPr>
        <w:t xml:space="preserve">שם</w:t>
      </w:r>
      <w:r>
        <w:rPr>
          <w:rFonts w:ascii="David" w:cs="David" w:eastAsia="David" w:hAnsi="David"/>
          <w:sz w:val="24"/>
          <w:szCs w:val="24"/>
          <w:rtl/>
        </w:rPr>
        <w:t xml:space="preserve"> כתבה את פרק השיטה ואת פרק הממצאים והריצה את הניתוחים ב-</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הדיון, המגבלות והסיכום נכתבו במשותף. </w:t>
      </w:r>
      <w:r>
        <w:rPr>
          <w:rFonts w:ascii="David" w:cs="David" w:eastAsia="David" w:hAnsi="David"/>
          <w:sz w:val="24"/>
          <w:szCs w:val="24"/>
          <w:highlight w:val="yellow"/>
          <w:rtl/>
        </w:rPr>
        <w:t xml:space="preserve">להתאים לחלוקה בפועל.</w:t>
      </w:r>
    </w:p>
    <w:p>
      <w:pPr>
        <w:pStyle w:val="Heading1"/>
        <w:pageBreakBefore/>
        <w:bidi/>
        <w:spacing w:after="240" w:before="0" w:line="360"/>
        <w:jc w:val="right"/>
      </w:pPr>
      <w:r>
        <w:rPr>
          <w:rFonts w:ascii="David" w:cs="David" w:eastAsia="David" w:hAnsi="David"/>
          <w:b/>
          <w:bCs/>
          <w:sz w:val="32"/>
          <w:szCs w:val="32"/>
          <w:rtl/>
        </w:rPr>
        <w:t xml:space="preserve">ביבליוגרפיה</w:t>
      </w:r>
    </w:p>
    <w:p>
      <w:pPr>
        <w:bidi/>
        <w:spacing w:after="120" w:line="360"/>
        <w:ind w:start="709" w:hanging="709"/>
        <w:jc w:val="right"/>
      </w:pPr>
      <w:r>
        <w:rPr>
          <w:rFonts w:ascii="David" w:cs="David" w:eastAsia="David" w:hAnsi="David"/>
          <w:sz w:val="24"/>
          <w:szCs w:val="24"/>
          <w:rtl/>
        </w:rPr>
        <w:t xml:space="preserve">בן צבי, ק' וכרמל, ת' (</w:t>
      </w:r>
      <w:r>
        <w:rPr>
          <w:rFonts w:ascii="Times New Roman" w:cs="Times New Roman" w:eastAsia="Times New Roman" w:hAnsi="Times New Roman"/>
          <w:sz w:val="24"/>
          <w:szCs w:val="24"/>
        </w:rPr>
        <w:t xml:space="preserve">2013</w:t>
      </w:r>
      <w:r>
        <w:rPr>
          <w:rFonts w:ascii="David" w:cs="David" w:eastAsia="David" w:hAnsi="David"/>
          <w:sz w:val="24"/>
          <w:szCs w:val="24"/>
          <w:rtl/>
        </w:rPr>
        <w:t xml:space="preserve">). אלימות כלואה: הקשר בין רמת צפיפות בבתי סוהר פליליים בישראל לרמת האלימות הפיזית. צוהר לבית הסוהר, </w:t>
      </w:r>
      <w:r>
        <w:rPr>
          <w:rFonts w:ascii="Times New Roman" w:cs="Times New Roman" w:eastAsia="Times New Roman" w:hAnsi="Times New Roman"/>
          <w:sz w:val="24"/>
          <w:szCs w:val="24"/>
        </w:rPr>
        <w:t xml:space="preserve">15,</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28-44.</w:t>
      </w:r>
    </w:p>
    <w:p>
      <w:pPr>
        <w:bidi/>
        <w:spacing w:after="120" w:line="360"/>
        <w:ind w:start="709" w:hanging="709"/>
        <w:jc w:val="right"/>
      </w:pPr>
      <w:r>
        <w:rPr>
          <w:rFonts w:ascii="David" w:cs="David" w:eastAsia="David" w:hAnsi="David"/>
          <w:sz w:val="24"/>
          <w:szCs w:val="24"/>
          <w:rtl/>
        </w:rPr>
        <w:t xml:space="preserve">דוידסקו, ע' וולק, ד' (</w:t>
      </w:r>
      <w:r>
        <w:rPr>
          <w:rFonts w:ascii="Times New Roman" w:cs="Times New Roman" w:eastAsia="Times New Roman" w:hAnsi="Times New Roman"/>
          <w:sz w:val="24"/>
          <w:szCs w:val="24"/>
        </w:rPr>
        <w:t xml:space="preserve">2015</w:t>
      </w:r>
      <w:r>
        <w:rPr>
          <w:rFonts w:ascii="David" w:cs="David" w:eastAsia="David" w:hAnsi="David"/>
          <w:sz w:val="24"/>
          <w:szCs w:val="24"/>
          <w:rtl/>
        </w:rPr>
        <w:t xml:space="preserve">). תנאי כליאה של אסירים: בין רווחה לנוקשות [סקירת ספרות, פרסום מס' </w:t>
      </w:r>
      <w:r>
        <w:rPr>
          <w:rFonts w:ascii="Times New Roman" w:cs="Times New Roman" w:eastAsia="Times New Roman" w:hAnsi="Times New Roman"/>
          <w:sz w:val="24"/>
          <w:szCs w:val="24"/>
        </w:rPr>
        <w:t xml:space="preserve">LR-02-2015</w:t>
      </w:r>
      <w:r>
        <w:rPr>
          <w:rFonts w:ascii="David" w:cs="David" w:eastAsia="David" w:hAnsi="David"/>
          <w:sz w:val="24"/>
          <w:szCs w:val="24"/>
          <w:rtl/>
        </w:rPr>
        <w:t xml:space="preserve">]. שירות בתי הסוהר, מחלקת מחקר ואסטרטגיה.</w:t>
      </w:r>
    </w:p>
    <w:p>
      <w:pPr>
        <w:bidi/>
        <w:spacing w:after="120" w:line="360"/>
        <w:ind w:start="709" w:hanging="709"/>
        <w:jc w:val="right"/>
      </w:pPr>
      <w:r>
        <w:rPr>
          <w:rFonts w:ascii="David" w:cs="David" w:eastAsia="David" w:hAnsi="David"/>
          <w:sz w:val="24"/>
          <w:szCs w:val="24"/>
          <w:rtl/>
        </w:rPr>
        <w:t xml:space="preserve">ועקנין, י'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בין שיקום ללגיטימיות: התפקיד של לגיטימיות בקשר שבין שביעות רצון מתנאי המחיה לשביעות רצון מפעילות חטו"ש בקרב כלואים פליליים בישראל. צוהר לבית הסוהר: מחקרים בכליאה, ביטחון ואכיפה, </w:t>
      </w: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62-77.</w:t>
      </w:r>
    </w:p>
    <w:p>
      <w:pPr>
        <w:bidi/>
        <w:spacing w:after="120" w:line="360"/>
        <w:ind w:start="709" w:hanging="709"/>
        <w:jc w:val="right"/>
      </w:pPr>
      <w:r>
        <w:rPr>
          <w:rFonts w:ascii="David" w:cs="David" w:eastAsia="David" w:hAnsi="David"/>
          <w:sz w:val="24"/>
          <w:szCs w:val="24"/>
          <w:rtl/>
        </w:rPr>
        <w:t xml:space="preserve">ועקנין, י'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סקר תנאי מחיה באגפים פליליים: מערך נתונים סינתטי להוראה, ספר משתנים ובנק שאלות מחקר [חומרי קורס]. סמינריון תנאי כליאה של אסירים פליליים בישראל ובעולם, המכללה האקדמית אשקלון.</w:t>
      </w:r>
    </w:p>
    <w:p>
      <w:pPr>
        <w:bidi/>
        <w:spacing w:after="120" w:line="360"/>
        <w:ind w:start="709" w:hanging="709"/>
        <w:jc w:val="right"/>
      </w:pPr>
      <w:r>
        <w:rPr>
          <w:rFonts w:ascii="David" w:cs="David" w:eastAsia="David" w:hAnsi="David"/>
          <w:sz w:val="24"/>
          <w:szCs w:val="24"/>
          <w:rtl/>
        </w:rPr>
        <w:t xml:space="preserve">יכימוביץ-כהן, נ' (</w:t>
      </w:r>
      <w:r>
        <w:rPr>
          <w:rFonts w:ascii="Times New Roman" w:cs="Times New Roman" w:eastAsia="Times New Roman" w:hAnsi="Times New Roman"/>
          <w:sz w:val="24"/>
          <w:szCs w:val="24"/>
        </w:rPr>
        <w:t xml:space="preserve">2020</w:t>
      </w:r>
      <w:r>
        <w:rPr>
          <w:rFonts w:ascii="David" w:cs="David" w:eastAsia="David" w:hAnsi="David"/>
          <w:sz w:val="24"/>
          <w:szCs w:val="24"/>
          <w:rtl/>
        </w:rPr>
        <w:t xml:space="preserve">). סוגיות בכליאה בישראל. הכנסת, מרכז המחקר והמידע.</w:t>
      </w:r>
    </w:p>
    <w:p>
      <w:pPr>
        <w:spacing w:after="120" w:line="360"/>
        <w:ind w:left="709" w:hanging="709"/>
        <w:jc w:val="left"/>
      </w:pPr>
      <w:r>
        <w:rPr>
          <w:rFonts w:ascii="Times New Roman" w:cs="Times New Roman" w:eastAsia="Times New Roman" w:hAnsi="Times New Roman"/>
          <w:i w:val="false"/>
          <w:iCs w:val="false"/>
          <w:sz w:val="24"/>
          <w:szCs w:val="24"/>
        </w:rPr>
        <w:t xml:space="preserve">Abderhalden, F. P., &amp; Alward, L. (2024). Jailed individuals' perceptions of procedural justice and suicidal ideation: An empirical examination. </w:t>
      </w:r>
      <w:r>
        <w:rPr>
          <w:rFonts w:ascii="Times New Roman" w:cs="Times New Roman" w:eastAsia="Times New Roman" w:hAnsi="Times New Roman"/>
          <w:i/>
          <w:iCs/>
          <w:sz w:val="24"/>
          <w:szCs w:val="24"/>
        </w:rPr>
        <w:t xml:space="preserve">Crime &amp; Delinquency, 70</w:t>
      </w:r>
      <w:r>
        <w:rPr>
          <w:rFonts w:ascii="Times New Roman" w:cs="Times New Roman" w:eastAsia="Times New Roman" w:hAnsi="Times New Roman"/>
          <w:i w:val="false"/>
          <w:iCs w:val="false"/>
          <w:sz w:val="24"/>
          <w:szCs w:val="24"/>
        </w:rPr>
        <w:t xml:space="preserve">(2), 414-440. https://doi.org/10.1177/00111287221106942</w:t>
      </w:r>
    </w:p>
    <w:p>
      <w:pPr>
        <w:spacing w:after="120" w:line="360"/>
        <w:ind w:left="709" w:hanging="709"/>
        <w:jc w:val="left"/>
      </w:pPr>
      <w:r>
        <w:rPr>
          <w:rFonts w:ascii="Times New Roman" w:cs="Times New Roman" w:eastAsia="Times New Roman" w:hAnsi="Times New Roman"/>
          <w:i w:val="false"/>
          <w:iCs w:val="false"/>
          <w:sz w:val="24"/>
          <w:szCs w:val="24"/>
        </w:rPr>
        <w:t xml:space="preserve">Auty, K. M., &amp; Liebling, A. (2024). What is a 'good enough' prison? An empirical analysis of key thresholds using prison moral quality data. </w:t>
      </w:r>
      <w:r>
        <w:rPr>
          <w:rFonts w:ascii="Times New Roman" w:cs="Times New Roman" w:eastAsia="Times New Roman" w:hAnsi="Times New Roman"/>
          <w:i/>
          <w:iCs/>
          <w:sz w:val="24"/>
          <w:szCs w:val="24"/>
        </w:rPr>
        <w:t xml:space="preserve">European Journal of Criminology, 21</w:t>
      </w:r>
      <w:r>
        <w:rPr>
          <w:rFonts w:ascii="Times New Roman" w:cs="Times New Roman" w:eastAsia="Times New Roman" w:hAnsi="Times New Roman"/>
          <w:i w:val="false"/>
          <w:iCs w:val="false"/>
          <w:sz w:val="24"/>
          <w:szCs w:val="24"/>
        </w:rPr>
        <w:t xml:space="preserve">(5), 725-753. https://doi.org/10.1177/14773708241227693</w:t>
      </w:r>
    </w:p>
    <w:p>
      <w:pPr>
        <w:spacing w:after="120" w:line="360"/>
        <w:ind w:left="709" w:hanging="709"/>
        <w:jc w:val="left"/>
      </w:pPr>
      <w:r>
        <w:rPr>
          <w:rFonts w:ascii="Times New Roman" w:cs="Times New Roman" w:eastAsia="Times New Roman" w:hAnsi="Times New Roman"/>
          <w:i w:val="false"/>
          <w:iCs w:val="false"/>
          <w:sz w:val="24"/>
          <w:szCs w:val="24"/>
        </w:rPr>
        <w:t xml:space="preserve">Beijersbergen, K. A., Dirkzwager, A. J. E., Eichelsheim, V. I., van der Laan, P. H., &amp; Nieuwbeerta, P. (2014). Procedural justice and prisoners' mental health problems: A longitudinal study. </w:t>
      </w:r>
      <w:r>
        <w:rPr>
          <w:rFonts w:ascii="Times New Roman" w:cs="Times New Roman" w:eastAsia="Times New Roman" w:hAnsi="Times New Roman"/>
          <w:i/>
          <w:iCs/>
          <w:sz w:val="24"/>
          <w:szCs w:val="24"/>
        </w:rPr>
        <w:t xml:space="preserve">Criminal Behaviour and Mental Health, 24</w:t>
      </w:r>
      <w:r>
        <w:rPr>
          <w:rFonts w:ascii="Times New Roman" w:cs="Times New Roman" w:eastAsia="Times New Roman" w:hAnsi="Times New Roman"/>
          <w:i w:val="false"/>
          <w:iCs w:val="false"/>
          <w:sz w:val="24"/>
          <w:szCs w:val="24"/>
        </w:rPr>
        <w:t xml:space="preserve">(2), 100-112. https://doi.org/10.1002/cbm.1881</w:t>
      </w:r>
    </w:p>
    <w:p>
      <w:pPr>
        <w:spacing w:after="120" w:line="360"/>
        <w:ind w:left="709" w:hanging="709"/>
        <w:jc w:val="left"/>
      </w:pPr>
      <w:r>
        <w:rPr>
          <w:rFonts w:ascii="Times New Roman" w:cs="Times New Roman" w:eastAsia="Times New Roman" w:hAnsi="Times New Roman"/>
          <w:i w:val="false"/>
          <w:iCs w:val="false"/>
          <w:sz w:val="24"/>
          <w:szCs w:val="24"/>
        </w:rPr>
        <w:t xml:space="preserve">Beijersbergen, K. A., Dirkzwager, A. J. E., Molleman, T., van der Laan, P. H., &amp; Nieuwbeerta, P. (2015). Procedural justice in prison: The importance of staff characteristics. </w:t>
      </w:r>
      <w:r>
        <w:rPr>
          <w:rFonts w:ascii="Times New Roman" w:cs="Times New Roman" w:eastAsia="Times New Roman" w:hAnsi="Times New Roman"/>
          <w:i/>
          <w:iCs/>
          <w:sz w:val="24"/>
          <w:szCs w:val="24"/>
        </w:rPr>
        <w:t xml:space="preserve">International Journal of Offender Therapy and Comparative Criminology, 59</w:t>
      </w:r>
      <w:r>
        <w:rPr>
          <w:rFonts w:ascii="Times New Roman" w:cs="Times New Roman" w:eastAsia="Times New Roman" w:hAnsi="Times New Roman"/>
          <w:i w:val="false"/>
          <w:iCs w:val="false"/>
          <w:sz w:val="24"/>
          <w:szCs w:val="24"/>
        </w:rPr>
        <w:t xml:space="preserve">(4), 337-358. https://doi.org/10.1177/0306624X13512767</w:t>
      </w:r>
    </w:p>
    <w:p>
      <w:pPr>
        <w:spacing w:after="120" w:line="360"/>
        <w:ind w:left="709" w:hanging="709"/>
        <w:jc w:val="left"/>
      </w:pPr>
      <w:r>
        <w:rPr>
          <w:rFonts w:ascii="Times New Roman" w:cs="Times New Roman" w:eastAsia="Times New Roman" w:hAnsi="Times New Roman"/>
          <w:i w:val="false"/>
          <w:iCs w:val="false"/>
          <w:sz w:val="24"/>
          <w:szCs w:val="24"/>
        </w:rPr>
        <w:t xml:space="preserve">Brunton-Smith, I., &amp; McCarthy, D. J. (2016). Prison legitimacy and procedural fairness: A multilevel examination of prisoners in England and Wales. </w:t>
      </w:r>
      <w:r>
        <w:rPr>
          <w:rFonts w:ascii="Times New Roman" w:cs="Times New Roman" w:eastAsia="Times New Roman" w:hAnsi="Times New Roman"/>
          <w:i/>
          <w:iCs/>
          <w:sz w:val="24"/>
          <w:szCs w:val="24"/>
        </w:rPr>
        <w:t xml:space="preserve">Justice Quarterly, 33</w:t>
      </w:r>
      <w:r>
        <w:rPr>
          <w:rFonts w:ascii="Times New Roman" w:cs="Times New Roman" w:eastAsia="Times New Roman" w:hAnsi="Times New Roman"/>
          <w:i w:val="false"/>
          <w:iCs w:val="false"/>
          <w:sz w:val="24"/>
          <w:szCs w:val="24"/>
        </w:rPr>
        <w:t xml:space="preserve">(6), 1029-1054. https://doi.org/10.1080/07418825.2015.1023215</w:t>
      </w:r>
    </w:p>
    <w:p>
      <w:pPr>
        <w:spacing w:after="120" w:line="360"/>
        <w:ind w:left="709" w:hanging="709"/>
        <w:jc w:val="left"/>
      </w:pPr>
      <w:r>
        <w:rPr>
          <w:rFonts w:ascii="Times New Roman" w:cs="Times New Roman" w:eastAsia="Times New Roman" w:hAnsi="Times New Roman"/>
          <w:i w:val="false"/>
          <w:iCs w:val="false"/>
          <w:sz w:val="24"/>
          <w:szCs w:val="24"/>
        </w:rPr>
        <w:t xml:space="preserve">Franke, D., Bierie, D., &amp; MacKenzie, D. L. (2010). Legitimacy in corrections: A randomized experiment comparing a boot camp with a prison. </w:t>
      </w:r>
      <w:r>
        <w:rPr>
          <w:rFonts w:ascii="Times New Roman" w:cs="Times New Roman" w:eastAsia="Times New Roman" w:hAnsi="Times New Roman"/>
          <w:i/>
          <w:iCs/>
          <w:sz w:val="24"/>
          <w:szCs w:val="24"/>
        </w:rPr>
        <w:t xml:space="preserve">Criminology &amp; Public Policy, 9</w:t>
      </w:r>
      <w:r>
        <w:rPr>
          <w:rFonts w:ascii="Times New Roman" w:cs="Times New Roman" w:eastAsia="Times New Roman" w:hAnsi="Times New Roman"/>
          <w:i w:val="false"/>
          <w:iCs w:val="false"/>
          <w:sz w:val="24"/>
          <w:szCs w:val="24"/>
        </w:rPr>
        <w:t xml:space="preserve">(1), 89-117. https://doi.org/10.1111/j.1745-9133.2010.00613.x</w:t>
      </w:r>
    </w:p>
    <w:p>
      <w:pPr>
        <w:spacing w:after="120" w:line="360"/>
        <w:ind w:left="709" w:hanging="709"/>
        <w:jc w:val="left"/>
      </w:pPr>
      <w:r>
        <w:rPr>
          <w:rFonts w:ascii="Times New Roman" w:cs="Times New Roman" w:eastAsia="Times New Roman" w:hAnsi="Times New Roman"/>
          <w:i w:val="false"/>
          <w:iCs w:val="false"/>
          <w:sz w:val="24"/>
          <w:szCs w:val="24"/>
        </w:rPr>
        <w:t xml:space="preserve">Hacin, R., &amp; Meško, G. (2018). Prisoners' perception of legitimacy of the prison staff: A qualitative study in Slovene prisons. </w:t>
      </w:r>
      <w:r>
        <w:rPr>
          <w:rFonts w:ascii="Times New Roman" w:cs="Times New Roman" w:eastAsia="Times New Roman" w:hAnsi="Times New Roman"/>
          <w:i/>
          <w:iCs/>
          <w:sz w:val="24"/>
          <w:szCs w:val="24"/>
        </w:rPr>
        <w:t xml:space="preserve">International Journal of Offender Therapy and Comparative Criminology, 62</w:t>
      </w:r>
      <w:r>
        <w:rPr>
          <w:rFonts w:ascii="Times New Roman" w:cs="Times New Roman" w:eastAsia="Times New Roman" w:hAnsi="Times New Roman"/>
          <w:i w:val="false"/>
          <w:iCs w:val="false"/>
          <w:sz w:val="24"/>
          <w:szCs w:val="24"/>
        </w:rPr>
        <w:t xml:space="preserve">(13), 4332-4350. https://doi.org/10.1177/0306624X18758896</w:t>
      </w:r>
    </w:p>
    <w:p>
      <w:pPr>
        <w:spacing w:after="120" w:line="360"/>
        <w:ind w:left="709" w:hanging="709"/>
        <w:jc w:val="left"/>
      </w:pPr>
      <w:r>
        <w:rPr>
          <w:rFonts w:ascii="Times New Roman" w:cs="Times New Roman" w:eastAsia="Times New Roman" w:hAnsi="Times New Roman"/>
          <w:i w:val="false"/>
          <w:iCs w:val="false"/>
          <w:sz w:val="24"/>
          <w:szCs w:val="24"/>
        </w:rPr>
        <w:t xml:space="preserve">Liebling, A. (2004). </w:t>
      </w:r>
      <w:r>
        <w:rPr>
          <w:rFonts w:ascii="Times New Roman" w:cs="Times New Roman" w:eastAsia="Times New Roman" w:hAnsi="Times New Roman"/>
          <w:i/>
          <w:iCs/>
          <w:sz w:val="24"/>
          <w:szCs w:val="24"/>
        </w:rPr>
        <w:t xml:space="preserve">Prisons and their moral performance: A study of values, quality, and prison life</w:t>
      </w:r>
      <w:r>
        <w:rPr>
          <w:rFonts w:ascii="Times New Roman" w:cs="Times New Roman" w:eastAsia="Times New Roman" w:hAnsi="Times New Roman"/>
          <w:i w:val="false"/>
          <w:iCs w:val="false"/>
          <w:sz w:val="24"/>
          <w:szCs w:val="24"/>
        </w:rPr>
        <w:t xml:space="preserve">. Oxford University Press.</w:t>
      </w:r>
    </w:p>
    <w:p>
      <w:pPr>
        <w:spacing w:after="120" w:line="360"/>
        <w:ind w:left="709" w:hanging="709"/>
        <w:jc w:val="left"/>
      </w:pPr>
      <w:r>
        <w:rPr>
          <w:rFonts w:ascii="Times New Roman" w:cs="Times New Roman" w:eastAsia="Times New Roman" w:hAnsi="Times New Roman"/>
          <w:i w:val="false"/>
          <w:iCs w:val="false"/>
          <w:sz w:val="24"/>
          <w:szCs w:val="24"/>
        </w:rPr>
        <w:t xml:space="preserve">Liebling, A., &amp; Maruna, S. (Eds.). (2005). </w:t>
      </w:r>
      <w:r>
        <w:rPr>
          <w:rFonts w:ascii="Times New Roman" w:cs="Times New Roman" w:eastAsia="Times New Roman" w:hAnsi="Times New Roman"/>
          <w:i/>
          <w:iCs/>
          <w:sz w:val="24"/>
          <w:szCs w:val="24"/>
        </w:rPr>
        <w:t xml:space="preserve">The effects of imprisonment</w:t>
      </w:r>
      <w:r>
        <w:rPr>
          <w:rFonts w:ascii="Times New Roman" w:cs="Times New Roman" w:eastAsia="Times New Roman" w:hAnsi="Times New Roman"/>
          <w:i w:val="false"/>
          <w:iCs w:val="false"/>
          <w:sz w:val="24"/>
          <w:szCs w:val="24"/>
        </w:rPr>
        <w:t xml:space="preserve">. Willan.</w:t>
      </w:r>
    </w:p>
    <w:p>
      <w:pPr>
        <w:spacing w:after="120" w:line="360"/>
        <w:ind w:left="709" w:hanging="709"/>
        <w:jc w:val="left"/>
      </w:pPr>
      <w:r>
        <w:rPr>
          <w:rFonts w:ascii="Times New Roman" w:cs="Times New Roman" w:eastAsia="Times New Roman" w:hAnsi="Times New Roman"/>
          <w:i w:val="false"/>
          <w:iCs w:val="false"/>
          <w:sz w:val="24"/>
          <w:szCs w:val="24"/>
        </w:rPr>
        <w:t xml:space="preserve">Ryan, C., &amp; Bergin, M. (2022). Procedural justice and legitimacy in prisons: A review of extant empirical literature. </w:t>
      </w:r>
      <w:r>
        <w:rPr>
          <w:rFonts w:ascii="Times New Roman" w:cs="Times New Roman" w:eastAsia="Times New Roman" w:hAnsi="Times New Roman"/>
          <w:i/>
          <w:iCs/>
          <w:sz w:val="24"/>
          <w:szCs w:val="24"/>
        </w:rPr>
        <w:t xml:space="preserve">Criminal Justice and Behavior, 49</w:t>
      </w:r>
      <w:r>
        <w:rPr>
          <w:rFonts w:ascii="Times New Roman" w:cs="Times New Roman" w:eastAsia="Times New Roman" w:hAnsi="Times New Roman"/>
          <w:i w:val="false"/>
          <w:iCs w:val="false"/>
          <w:sz w:val="24"/>
          <w:szCs w:val="24"/>
        </w:rPr>
        <w:t xml:space="preserve">(2), 143-163. https://doi.org/10.1177/00938548211053367</w:t>
      </w:r>
    </w:p>
    <w:p>
      <w:pPr>
        <w:spacing w:after="120" w:line="360"/>
        <w:ind w:left="709" w:hanging="709"/>
        <w:jc w:val="left"/>
      </w:pPr>
      <w:r>
        <w:rPr>
          <w:rFonts w:ascii="Times New Roman" w:cs="Times New Roman" w:eastAsia="Times New Roman" w:hAnsi="Times New Roman"/>
          <w:i w:val="false"/>
          <w:iCs w:val="false"/>
          <w:sz w:val="24"/>
          <w:szCs w:val="24"/>
        </w:rPr>
        <w:t xml:space="preserve">Sargeant, E., Murphy, K., Barkworth, J., &amp; Howard, M. v. A. (2026). Procedural justice and mental well-being in prisons: The mediating roles of staff relationships and prison safety. </w:t>
      </w:r>
      <w:r>
        <w:rPr>
          <w:rFonts w:ascii="Times New Roman" w:cs="Times New Roman" w:eastAsia="Times New Roman" w:hAnsi="Times New Roman"/>
          <w:i/>
          <w:iCs/>
          <w:sz w:val="24"/>
          <w:szCs w:val="24"/>
        </w:rPr>
        <w:t xml:space="preserve">Criminal Justice and Behavior, 53</w:t>
      </w:r>
      <w:r>
        <w:rPr>
          <w:rFonts w:ascii="Times New Roman" w:cs="Times New Roman" w:eastAsia="Times New Roman" w:hAnsi="Times New Roman"/>
          <w:i w:val="false"/>
          <w:iCs w:val="false"/>
          <w:sz w:val="24"/>
          <w:szCs w:val="24"/>
        </w:rPr>
        <w:t xml:space="preserve">(5), 619-639. https://doi.org/10.1177/00938548251400649</w:t>
      </w:r>
    </w:p>
    <w:p>
      <w:pPr>
        <w:spacing w:after="120" w:line="360"/>
        <w:ind w:left="709" w:hanging="709"/>
        <w:jc w:val="left"/>
      </w:pPr>
      <w:r>
        <w:rPr>
          <w:rFonts w:ascii="Times New Roman" w:cs="Times New Roman" w:eastAsia="Times New Roman" w:hAnsi="Times New Roman"/>
          <w:i w:val="false"/>
          <w:iCs w:val="false"/>
          <w:sz w:val="24"/>
          <w:szCs w:val="24"/>
        </w:rPr>
        <w:t xml:space="preserve">Schnittker, J. (2025). Trusting relationships in prison and well-being after release. </w:t>
      </w:r>
      <w:r>
        <w:rPr>
          <w:rFonts w:ascii="Times New Roman" w:cs="Times New Roman" w:eastAsia="Times New Roman" w:hAnsi="Times New Roman"/>
          <w:i/>
          <w:iCs/>
          <w:sz w:val="24"/>
          <w:szCs w:val="24"/>
        </w:rPr>
        <w:t xml:space="preserve">SSM - Mental Health, 8</w:t>
      </w:r>
      <w:r>
        <w:rPr>
          <w:rFonts w:ascii="Times New Roman" w:cs="Times New Roman" w:eastAsia="Times New Roman" w:hAnsi="Times New Roman"/>
          <w:i w:val="false"/>
          <w:iCs w:val="false"/>
          <w:sz w:val="24"/>
          <w:szCs w:val="24"/>
        </w:rPr>
        <w:t xml:space="preserve">, Article 100539. https://doi.org/10.1016/j.ssmmh.2025.100539</w:t>
      </w:r>
    </w:p>
    <w:p>
      <w:pPr>
        <w:spacing w:after="120" w:line="360"/>
        <w:ind w:left="709" w:hanging="709"/>
        <w:jc w:val="left"/>
      </w:pPr>
      <w:r>
        <w:rPr>
          <w:rFonts w:ascii="Times New Roman" w:cs="Times New Roman" w:eastAsia="Times New Roman" w:hAnsi="Times New Roman"/>
          <w:i w:val="false"/>
          <w:iCs w:val="false"/>
          <w:sz w:val="24"/>
          <w:szCs w:val="24"/>
        </w:rPr>
        <w:t xml:space="preserve">Sparks, J. R., &amp; Bottoms, A. E. (1995). Legitimacy and order in prisons. </w:t>
      </w:r>
      <w:r>
        <w:rPr>
          <w:rFonts w:ascii="Times New Roman" w:cs="Times New Roman" w:eastAsia="Times New Roman" w:hAnsi="Times New Roman"/>
          <w:i/>
          <w:iCs/>
          <w:sz w:val="24"/>
          <w:szCs w:val="24"/>
        </w:rPr>
        <w:t xml:space="preserve">British Journal of Sociology, 46</w:t>
      </w:r>
      <w:r>
        <w:rPr>
          <w:rFonts w:ascii="Times New Roman" w:cs="Times New Roman" w:eastAsia="Times New Roman" w:hAnsi="Times New Roman"/>
          <w:i w:val="false"/>
          <w:iCs w:val="false"/>
          <w:sz w:val="24"/>
          <w:szCs w:val="24"/>
        </w:rPr>
        <w:t xml:space="preserve">(1), 45-62. https://doi.org/10.2307/591622</w:t>
      </w:r>
    </w:p>
    <w:p>
      <w:pPr>
        <w:spacing w:after="120" w:line="360"/>
        <w:ind w:left="709" w:hanging="709"/>
        <w:jc w:val="left"/>
      </w:pPr>
      <w:r>
        <w:rPr>
          <w:rFonts w:ascii="Times New Roman" w:cs="Times New Roman" w:eastAsia="Times New Roman" w:hAnsi="Times New Roman"/>
          <w:i w:val="false"/>
          <w:iCs w:val="false"/>
          <w:sz w:val="24"/>
          <w:szCs w:val="24"/>
        </w:rPr>
        <w:t xml:space="preserve">Sykes, G. M. (1958). </w:t>
      </w:r>
      <w:r>
        <w:rPr>
          <w:rFonts w:ascii="Times New Roman" w:cs="Times New Roman" w:eastAsia="Times New Roman" w:hAnsi="Times New Roman"/>
          <w:i/>
          <w:iCs/>
          <w:sz w:val="24"/>
          <w:szCs w:val="24"/>
        </w:rPr>
        <w:t xml:space="preserve">The society of captives: A study of a maximum security prison</w:t>
      </w:r>
      <w:r>
        <w:rPr>
          <w:rFonts w:ascii="Times New Roman" w:cs="Times New Roman" w:eastAsia="Times New Roman" w:hAnsi="Times New Roman"/>
          <w:i w:val="false"/>
          <w:iCs w:val="false"/>
          <w:sz w:val="24"/>
          <w:szCs w:val="24"/>
        </w:rPr>
        <w:t xml:space="preserve">. Princeton University Press.</w:t>
      </w:r>
    </w:p>
    <w:p>
      <w:pPr>
        <w:spacing w:after="120" w:line="360"/>
        <w:ind w:left="709" w:hanging="709"/>
        <w:jc w:val="left"/>
      </w:pPr>
      <w:r>
        <w:rPr>
          <w:rFonts w:ascii="Times New Roman" w:cs="Times New Roman" w:eastAsia="Times New Roman" w:hAnsi="Times New Roman"/>
          <w:i w:val="false"/>
          <w:iCs w:val="false"/>
          <w:sz w:val="24"/>
          <w:szCs w:val="24"/>
        </w:rPr>
        <w:t xml:space="preserve">Tyler, T. R. (1990). </w:t>
      </w:r>
      <w:r>
        <w:rPr>
          <w:rFonts w:ascii="Times New Roman" w:cs="Times New Roman" w:eastAsia="Times New Roman" w:hAnsi="Times New Roman"/>
          <w:i/>
          <w:iCs/>
          <w:sz w:val="24"/>
          <w:szCs w:val="24"/>
        </w:rPr>
        <w:t xml:space="preserve">Why people obey the law</w:t>
      </w:r>
      <w:r>
        <w:rPr>
          <w:rFonts w:ascii="Times New Roman" w:cs="Times New Roman" w:eastAsia="Times New Roman" w:hAnsi="Times New Roman"/>
          <w:i w:val="false"/>
          <w:iCs w:val="false"/>
          <w:sz w:val="24"/>
          <w:szCs w:val="24"/>
        </w:rPr>
        <w:t xml:space="preserve">. Yale University Press.</w:t>
      </w:r>
    </w:p>
    <w:p>
      <w:pPr>
        <w:spacing w:after="120" w:line="360"/>
        <w:ind w:left="709" w:hanging="709"/>
        <w:jc w:val="left"/>
      </w:pPr>
      <w:r>
        <w:rPr>
          <w:rFonts w:ascii="Times New Roman" w:cs="Times New Roman" w:eastAsia="Times New Roman" w:hAnsi="Times New Roman"/>
          <w:i w:val="false"/>
          <w:iCs w:val="false"/>
          <w:sz w:val="24"/>
          <w:szCs w:val="24"/>
        </w:rPr>
        <w:t xml:space="preserve">Van Ginneken, E. F. J. C., Palmen, H., Bosma, A. Q., &amp; Sentse, M. (2019). Bearing the weight of imprisonment: The relationship between prison climate and well-being. </w:t>
      </w:r>
      <w:r>
        <w:rPr>
          <w:rFonts w:ascii="Times New Roman" w:cs="Times New Roman" w:eastAsia="Times New Roman" w:hAnsi="Times New Roman"/>
          <w:i/>
          <w:iCs/>
          <w:sz w:val="24"/>
          <w:szCs w:val="24"/>
        </w:rPr>
        <w:t xml:space="preserve">Criminal Justice and Behavior, 46</w:t>
      </w:r>
      <w:r>
        <w:rPr>
          <w:rFonts w:ascii="Times New Roman" w:cs="Times New Roman" w:eastAsia="Times New Roman" w:hAnsi="Times New Roman"/>
          <w:i w:val="false"/>
          <w:iCs w:val="false"/>
          <w:sz w:val="24"/>
          <w:szCs w:val="24"/>
        </w:rPr>
        <w:t xml:space="preserve">(10), 1385-1404. https://doi.org/10.1177/0093854819867373</w:t>
      </w:r>
    </w:p>
    <w:p>
      <w:pPr>
        <w:spacing w:after="120" w:line="360"/>
        <w:ind w:left="709" w:hanging="709"/>
        <w:jc w:val="left"/>
      </w:pPr>
      <w:r>
        <w:rPr>
          <w:rFonts w:ascii="Times New Roman" w:cs="Times New Roman" w:eastAsia="Times New Roman" w:hAnsi="Times New Roman"/>
          <w:i w:val="false"/>
          <w:iCs w:val="false"/>
          <w:sz w:val="24"/>
          <w:szCs w:val="24"/>
        </w:rPr>
        <w:t xml:space="preserve">van Hall, M., Baker, T., Nieuwbeerta, P., &amp; Dirkzwager, A. J. E. (2025). Procedural justice spill-over and recidivism after release from prison. </w:t>
      </w:r>
      <w:r>
        <w:rPr>
          <w:rFonts w:ascii="Times New Roman" w:cs="Times New Roman" w:eastAsia="Times New Roman" w:hAnsi="Times New Roman"/>
          <w:i/>
          <w:iCs/>
          <w:sz w:val="24"/>
          <w:szCs w:val="24"/>
        </w:rPr>
        <w:t xml:space="preserve">Crime &amp; Delinquency</w:t>
      </w:r>
      <w:r>
        <w:rPr>
          <w:rFonts w:ascii="Times New Roman" w:cs="Times New Roman" w:eastAsia="Times New Roman" w:hAnsi="Times New Roman"/>
          <w:i w:val="false"/>
          <w:iCs w:val="false"/>
          <w:sz w:val="24"/>
          <w:szCs w:val="24"/>
        </w:rPr>
        <w:t xml:space="preserve">. Advance online publication. https://doi.org/10.1177/00111287241248104</w:t>
      </w:r>
    </w:p>
    <w:p>
      <w:pPr>
        <w:pStyle w:val="Heading1"/>
        <w:pageBreakBefore/>
        <w:bidi/>
        <w:spacing w:after="240" w:before="0" w:line="360"/>
        <w:jc w:val="right"/>
      </w:pPr>
      <w:r>
        <w:rPr>
          <w:rFonts w:ascii="David" w:cs="David" w:eastAsia="David" w:hAnsi="David"/>
          <w:b/>
          <w:bCs/>
          <w:sz w:val="32"/>
          <w:szCs w:val="32"/>
          <w:rtl/>
        </w:rPr>
        <w:t xml:space="preserve">נספחים</w:t>
      </w:r>
    </w:p>
    <w:p>
      <w:pPr>
        <w:pStyle w:val="Heading1"/>
        <w:bidi/>
        <w:spacing w:after="240" w:before="0" w:line="360"/>
        <w:jc w:val="right"/>
      </w:pPr>
      <w:r>
        <w:rPr>
          <w:rFonts w:ascii="David" w:cs="David" w:eastAsia="David" w:hAnsi="David"/>
          <w:b/>
          <w:bCs/>
          <w:sz w:val="32"/>
          <w:szCs w:val="32"/>
          <w:rtl/>
        </w:rPr>
        <w:t xml:space="preserve">נספח א'</w:t>
      </w:r>
    </w:p>
    <w:p>
      <w:pPr>
        <w:bidi/>
        <w:spacing w:after="120" w:line="360"/>
        <w:jc w:val="both"/>
      </w:pPr>
      <w:r>
        <w:rPr>
          <w:rFonts w:ascii="David" w:cs="David" w:eastAsia="David" w:hAnsi="David"/>
          <w:sz w:val="24"/>
          <w:szCs w:val="24"/>
          <w:rtl/>
        </w:rPr>
        <w:t xml:space="preserve">פלטי </w:t>
      </w:r>
      <w:r>
        <w:rPr>
          <w:rFonts w:ascii="Times New Roman" w:cs="Times New Roman" w:eastAsia="Times New Roman" w:hAnsi="Times New Roman"/>
          <w:sz w:val="24"/>
          <w:szCs w:val="24"/>
        </w:rPr>
        <w:t xml:space="preserve">SPSS</w:t>
      </w:r>
    </w:p>
    <w:p>
      <w:pPr>
        <w:bidi/>
        <w:spacing w:after="120" w:line="360"/>
        <w:jc w:val="both"/>
      </w:pPr>
      <w:r>
        <w:rPr>
          <w:rFonts w:ascii="David" w:cs="David" w:eastAsia="David" w:hAnsi="David"/>
          <w:sz w:val="24"/>
          <w:szCs w:val="24"/>
          <w:rtl/>
        </w:rPr>
        <w:t xml:space="preserve">להלן הלוחות המרכזיים מפלט ה-</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(הרצה מיום </w:t>
      </w:r>
      <w:r>
        <w:rPr>
          <w:rFonts w:ascii="Times New Roman" w:cs="Times New Roman" w:eastAsia="Times New Roman" w:hAnsi="Times New Roman"/>
          <w:sz w:val="24"/>
          <w:szCs w:val="24"/>
        </w:rPr>
        <w:t xml:space="preserve">8</w:t>
      </w:r>
      <w:r>
        <w:rPr>
          <w:rFonts w:ascii="David" w:cs="David" w:eastAsia="David" w:hAnsi="David"/>
          <w:sz w:val="24"/>
          <w:szCs w:val="24"/>
          <w:rtl/>
        </w:rPr>
        <w:t xml:space="preserve"> בספטמבר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בעריכה קלה. הפלט המלא, כולל התרשימים, מצורף לעבודה כקובץ נפרד.</w:t>
      </w:r>
    </w:p>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-1</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Crosstabs, inmate</w:t>
      </w:r>
      <w:r>
        <w:rPr>
          <w:rFonts w:ascii="David" w:cs="David" w:eastAsia="David" w:hAnsi="David"/>
          <w:b/>
          <w:bCs/>
          <w:sz w:val="24"/>
          <w:szCs w:val="24"/>
          <w:rtl/>
        </w:rPr>
        <w:t xml:space="preserve">_</w:t>
      </w:r>
      <w:r>
        <w:rPr>
          <w:rFonts w:ascii="Times New Roman" w:cs="Times New Roman" w:eastAsia="Times New Roman" w:hAnsi="Times New Roman"/>
          <w:b/>
          <w:bCs/>
          <w:sz w:val="24"/>
          <w:szCs w:val="24"/>
        </w:rPr>
        <w:t xml:space="preserve">type</w:t>
      </w:r>
      <w:r>
        <w:rPr>
          <w:rFonts w:ascii="David" w:cs="David" w:eastAsia="David" w:hAnsi="David"/>
          <w:b/>
          <w:bCs/>
          <w:sz w:val="24"/>
          <w:szCs w:val="24"/>
          <w:rtl/>
        </w:rPr>
        <w:t xml:space="preserve"> * סוג האסיר (מקודד)</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1800"/>
        <w:gridCol w:w="1800"/>
        <w:gridCol w:w="16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inmate_type</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עצור פלילי</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פלילי שפוט</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Total</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עצורים פליליים</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פליליים</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Total</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3790</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-2</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Frequencies, Statistics (Filter: filt</w:t>
      </w:r>
      <w:r>
        <w:rPr>
          <w:rFonts w:ascii="David" w:cs="David" w:eastAsia="David" w:hAnsi="David"/>
          <w:b/>
          <w:bCs/>
          <w:sz w:val="24"/>
          <w:szCs w:val="24"/>
          <w:rtl/>
        </w:rPr>
        <w:t xml:space="preserve">_</w:t>
      </w:r>
      <w:r>
        <w:rPr>
          <w:rFonts w:ascii="Times New Roman" w:cs="Times New Roman" w:eastAsia="Times New Roman" w:hAnsi="Times New Roman"/>
          <w:b/>
          <w:bCs/>
          <w:sz w:val="24"/>
          <w:szCs w:val="24"/>
        </w:rPr>
        <w:t xml:space="preserve">shafut</w:t>
      </w:r>
      <w:r>
        <w:rPr>
          <w:rFonts w:ascii="David" w:cs="David" w:eastAsia="David" w:hAnsi="David"/>
          <w:b/>
          <w:bCs/>
          <w:sz w:val="24"/>
          <w:szCs w:val="24"/>
          <w:rtl/>
        </w:rPr>
        <w:t xml:space="preserve">)</w:t>
      </w:r>
    </w:p>
    <w:tbl>
      <w:tblPr>
        <w:bidiVisual/>
        <w:tblW w:type="dxa" w:w="88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800"/>
        <w:gridCol w:w="800"/>
        <w:gridCol w:w="800"/>
        <w:gridCol w:w="800"/>
        <w:gridCol w:w="900"/>
        <w:gridCol w:w="9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פריט</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 Valid</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Missing</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Median</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Skewness</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Kurtosis</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4.06</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-1.246</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2306</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73</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4.44</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0.855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-1.673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2.682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2152</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227</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-1.583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1.633</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1.108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-1.142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0.648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1.229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-0.658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-0.452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3.83</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1.195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-0.788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-0.252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3.58</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-0.547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-0.387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1.127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-0.155</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-3</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Reliability, Scale</w:t>
      </w:r>
      <w:r>
        <w:rPr>
          <w:rFonts w:ascii="David" w:cs="David" w:eastAsia="David" w:hAnsi="David"/>
          <w:b/>
          <w:bCs/>
          <w:sz w:val="24"/>
          <w:szCs w:val="24"/>
          <w:rtl/>
        </w:rPr>
        <w:t xml:space="preserve">: לגיטימיות הסגל </w:t>
      </w:r>
      <w:r>
        <w:rPr>
          <w:rFonts w:ascii="Times New Roman" w:cs="Times New Roman" w:eastAsia="Times New Roman" w:hAnsi="Times New Roman"/>
          <w:b/>
          <w:bCs/>
          <w:sz w:val="24"/>
          <w:szCs w:val="24"/>
        </w:rPr>
        <w:t xml:space="preserve">(Cases Valid 2114, Excluded 265)</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4600"/>
        <w:gridCol w:w="3200"/>
      </w:tblGrid>
      <w:tr>
        <w:trPr>
          <w:cantSplit/>
          <w:tblHeader/>
        </w:trPr>
        <w:tc>
          <w:tcPr>
            <w:tcW w:type="dxa" w:w="4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Statistic</w:t>
            </w:r>
          </w:p>
        </w:tc>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Value</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0.666</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 Based on Standardized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N of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Scale Mean / Variance / SD</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12.82 / 6.015 / 2.453</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900"/>
        <w:gridCol w:w="1300"/>
        <w:gridCol w:w="1300"/>
        <w:gridCol w:w="12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Item</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Corrected Item-Total Corr.</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Squared Multiple Corr.</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Alpha if Deleted</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1.171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0.512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0.321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0.528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4.46</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0.850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0.567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0.343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0.498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1.118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0.395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0.162</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0.687</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-4</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Reliability, Scale</w:t>
      </w:r>
      <w:r>
        <w:rPr>
          <w:rFonts w:ascii="David" w:cs="David" w:eastAsia="David" w:hAnsi="David"/>
          <w:b/>
          <w:bCs/>
          <w:sz w:val="24"/>
          <w:szCs w:val="24"/>
          <w:rtl/>
        </w:rPr>
        <w:t xml:space="preserve">: רווחה נפשית </w:t>
      </w:r>
      <w:r>
        <w:rPr>
          <w:rFonts w:ascii="Times New Roman" w:cs="Times New Roman" w:eastAsia="Times New Roman" w:hAnsi="Times New Roman"/>
          <w:b/>
          <w:bCs/>
          <w:sz w:val="24"/>
          <w:szCs w:val="24"/>
        </w:rPr>
        <w:t xml:space="preserve">(Cases Valid 2379)</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4600"/>
        <w:gridCol w:w="3200"/>
      </w:tblGrid>
      <w:tr>
        <w:trPr>
          <w:cantSplit/>
          <w:tblHeader/>
        </w:trPr>
        <w:tc>
          <w:tcPr>
            <w:tcW w:type="dxa" w:w="4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Statistic</w:t>
            </w:r>
          </w:p>
        </w:tc>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Value</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0.805</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 Based on Standardized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N of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Scale Mean / Variance / SD</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18.90 / 18.975 / 4.356</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900"/>
        <w:gridCol w:w="1300"/>
        <w:gridCol w:w="1300"/>
        <w:gridCol w:w="12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Item</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Corrected Item-Total Corr.</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Squared Multiple Corr.</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Alpha if Deleted</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1.108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0.471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0.380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0.801</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0.534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0.754</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1.195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0.520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0.736</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0.622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0.523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1.127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0.541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0.429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0.781</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-5</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Descriptives</w:t>
      </w:r>
      <w:r>
        <w:rPr>
          <w:rFonts w:ascii="David" w:cs="David" w:eastAsia="David" w:hAnsi="David"/>
          <w:b/>
          <w:bCs/>
          <w:sz w:val="24"/>
          <w:szCs w:val="24"/>
          <w:rtl/>
        </w:rPr>
        <w:t xml:space="preserve"> ו-</w:t>
      </w:r>
      <w:r>
        <w:rPr>
          <w:rFonts w:ascii="Times New Roman" w:cs="Times New Roman" w:eastAsia="Times New Roman" w:hAnsi="Times New Roman"/>
          <w:b/>
          <w:bCs/>
          <w:sz w:val="24"/>
          <w:szCs w:val="24"/>
        </w:rPr>
        <w:t xml:space="preserve">Explore, Tests of Normality</w:t>
      </w:r>
    </w:p>
    <w:tbl>
      <w:tblPr>
        <w:bidiVisual/>
        <w:tblW w:type="dxa" w:w="89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700"/>
        <w:gridCol w:w="700"/>
        <w:gridCol w:w="700"/>
        <w:gridCol w:w="900"/>
        <w:gridCol w:w="900"/>
        <w:gridCol w:w="1200"/>
        <w:gridCol w:w="12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Variable</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Min</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Max</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Skewness (SE)</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Kurtosis (SE)</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(ממוצע </w:t>
            </w:r>
            <w:r>
              <w:rPr>
                <w:rFonts w:ascii="Times New Roman" w:cs="Times New Roman" w:eastAsia="Times New Roman" w:hAnsi="Times New Roman"/>
                <w:b w:val="false"/>
                <w:bCs w:val="false"/>
                <w:sz w:val="22"/>
                <w:szCs w:val="22"/>
              </w:rPr>
              <w:t xml:space="preserve">3</w:t>
            </w:r>
            <w:r>
              <w:rPr>
                <w:rFonts w:ascii="David" w:cs="David" w:eastAsia="David" w:hAnsi="David"/>
                <w:b w:val="false"/>
                <w:bCs w:val="false"/>
                <w:sz w:val="22"/>
                <w:szCs w:val="22"/>
                <w:rtl/>
              </w:rPr>
              <w:t xml:space="preserve"> פריטים)</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1.00</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4.2405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0.82894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-1.159 (0.051)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0.944 (0.101)</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 (ממוצע </w:t>
            </w:r>
            <w:r>
              <w:rPr>
                <w:rFonts w:ascii="Times New Roman" w:cs="Times New Roman" w:eastAsia="Times New Roman" w:hAnsi="Times New Roman"/>
                <w:b w:val="false"/>
                <w:bCs w:val="false"/>
                <w:sz w:val="22"/>
                <w:szCs w:val="22"/>
              </w:rPr>
              <w:t xml:space="preserve">5</w:t>
            </w:r>
            <w:r>
              <w:rPr>
                <w:rFonts w:ascii="David" w:cs="David" w:eastAsia="David" w:hAnsi="David"/>
                <w:b w:val="false"/>
                <w:bCs w:val="false"/>
                <w:sz w:val="22"/>
                <w:szCs w:val="22"/>
                <w:rtl/>
              </w:rPr>
              <w:t xml:space="preserve"> פריטים)</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1.00</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3.7797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0.87119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-0.589 (0.050)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-0.008 (0.100)</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2200"/>
        <w:gridCol w:w="1500"/>
        <w:gridCol w:w="800"/>
        <w:gridCol w:w="900"/>
        <w:gridCol w:w="1400"/>
        <w:gridCol w:w="800"/>
        <w:gridCol w:w="900"/>
      </w:tblGrid>
      <w:tr>
        <w:trPr>
          <w:cantSplit/>
          <w:tblHeader/>
        </w:trPr>
        <w:tc>
          <w:tcPr>
            <w:tcW w:type="dxa" w:w="2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Variable</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Kolmogorov-Smirnov Statistic</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df</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Sig.</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Shapiro-Wilk Statistic</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df</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Sig.</w:t>
            </w:r>
          </w:p>
        </w:tc>
      </w:tr>
      <w:tr>
        <w:trPr>
          <w:cantSplit/>
        </w:trPr>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0.180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0.847</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0.090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0.955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-6</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Correlations (Pearson)</w:t>
      </w:r>
      <w:r>
        <w:rPr>
          <w:rFonts w:ascii="David" w:cs="David" w:eastAsia="David" w:hAnsi="David"/>
          <w:b/>
          <w:bCs/>
          <w:sz w:val="24"/>
          <w:szCs w:val="24"/>
          <w:rtl/>
        </w:rPr>
        <w:t xml:space="preserve"> ו-</w:t>
      </w:r>
      <w:r>
        <w:rPr>
          <w:rFonts w:ascii="Times New Roman" w:cs="Times New Roman" w:eastAsia="Times New Roman" w:hAnsi="Times New Roman"/>
          <w:b/>
          <w:bCs/>
          <w:sz w:val="24"/>
          <w:szCs w:val="24"/>
        </w:rPr>
        <w:t xml:space="preserve">Nonparametric Correlations (Spearman)</w:t>
      </w:r>
    </w:p>
    <w:tbl>
      <w:tblPr>
        <w:bidiVisual/>
        <w:tblW w:type="dxa" w:w="8200"/>
        <w:tblBorders>
          <w:top w:val="single" w:color="000000" w:sz="4"/>
          <w:left w:val="none" w:color="FFFFFF" w:sz="0"/>
          <w:bottom w:val="single" w:color="000000" w:sz="4"/>
          <w:right w:val="none" w:color="FFFFFF" w:sz="0"/>
          <w:insideH w:val="none" w:color="FFFFFF" w:sz="0"/>
          <w:insideV w:val="none" w:color="FFFFFF" w:sz="0"/>
        </w:tblBorders>
      </w:tblPr>
      <w:tblGrid>
        <w:gridCol w:w="3400"/>
        <w:gridCol w:w="2400"/>
        <w:gridCol w:w="2400"/>
      </w:tblGrid>
      <w:tr>
        <w:trPr>
          <w:cantSplit/>
          <w:tblHeader/>
        </w:trPr>
        <w:tc>
          <w:tcPr>
            <w:tcW w:type="dxa" w:w="3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לגיטימיות הסגל</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רווחה נפשית</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w:t>
            </w:r>
            <w:r>
              <w:rPr>
                <w:rFonts w:ascii="Times New Roman" w:cs="Times New Roman" w:eastAsia="Times New Roman" w:hAnsi="Times New Roman"/>
                <w:b w:val="false"/>
                <w:bCs w:val="false"/>
                <w:sz w:val="22"/>
                <w:szCs w:val="22"/>
              </w:rPr>
              <w:t xml:space="preserve">Pearson r / Sig. / N</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 / -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0.319** / &lt; 0.001 / 2344</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 </w:t>
            </w:r>
            <w:r>
              <w:rPr>
                <w:rFonts w:ascii="Times New Roman" w:cs="Times New Roman" w:eastAsia="Times New Roman" w:hAnsi="Times New Roman"/>
                <w:b w:val="false"/>
                <w:bCs w:val="false"/>
                <w:sz w:val="22"/>
                <w:szCs w:val="22"/>
              </w:rPr>
              <w:t xml:space="preserve">Pearson r / Sig. / N</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0.319** / &lt; 0.001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 / - / 2379</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Spearman rho (legitimacy, wellbeing)</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0.340** / &lt; 0.001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Spearman rho (wellbeing with item 1 / 2 / 3)</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0.290 / 0.248 / 0.248</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all p &lt; 0.001</w:t>
            </w:r>
          </w:p>
        </w:tc>
      </w:tr>
    </w:tbl>
    <w:p>
      <w:pPr>
        <w:bidi/>
        <w:spacing w:after="200" w:before="60" w:line="276"/>
        <w:jc w:val="right"/>
      </w:pPr>
      <w:r>
        <w:rPr>
          <w:rFonts w:ascii="Times New Roman" w:cs="Times New Roman" w:eastAsia="Times New Roman" w:hAnsi="Times New Roman"/>
          <w:sz w:val="20"/>
          <w:szCs w:val="20"/>
        </w:rPr>
        <w:t xml:space="preserve">**. Correlation is significant at the 0.01 level (2-tailed).</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sz w:val="32"/>
      <w:szCs w:val="32"/>
      <w:rtl/>
    </w:rPr>
  </w:style>
  <w:style w:type="paragraph" w:styleId="Heading2">
    <w:name w:val="Heading 2"/>
    <w:basedOn w:val="Normal"/>
    <w:next w:val="Normal"/>
    <w:qFormat/>
    <w:pPr>
      <w:outlineLvl w:val="1"/>
    </w:pPr>
    <w:rPr>
      <w:rFonts w:ascii="David" w:cs="David" w:eastAsia="David" w:hAnsi="David"/>
      <w:b/>
      <w:bCs/>
      <w:sz w:val="28"/>
      <w:szCs w:val="28"/>
      <w:rtl/>
    </w:rPr>
  </w:style>
  <w:style w:type="paragraph" w:styleId="Heading3">
    <w:name w:val="Heading 3"/>
    <w:basedOn w:val="Normal"/>
    <w:next w:val="Normal"/>
    <w:qFormat/>
    <w:pPr>
      <w:outlineLvl w:val="2"/>
    </w:pPr>
    <w:rPr>
      <w:rFonts w:ascii="David" w:cs="David" w:eastAsia="David" w:hAnsi="David"/>
      <w:b/>
      <w:bCs/>
      <w:sz w:val="24"/>
      <w:szCs w:val="24"/>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רווחה נפשית ותפיסת הלגיטימיות של סגל הכליאה בקרב אסירים שפוטים בישראל</dc:title>
  <cp:lastModifiedBy>Un-named</cp:lastModifiedBy>
  <cp:revision>1</cp:revision>
  <dcterms:created xsi:type="dcterms:W3CDTF">2026-09-09T17:00:35.312Z</dcterms:created>
  <dcterms:modified xsi:type="dcterms:W3CDTF">2026-09-09T17:00:35.324Z</dcterms:modified>
</cp:coreProperties>
</file>

<file path=docProps/custom.xml><?xml version="1.0" encoding="utf-8"?>
<Properties xmlns="http://schemas.openxmlformats.org/officeDocument/2006/custom-properties" xmlns:vt="http://schemas.openxmlformats.org/officeDocument/2006/docPropsVTypes"/>
</file>