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200"/>
        <w:jc w:val="center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המכללה האקדמית הערבית לחינוך בישראל – חיפה</w:t>
      </w:r>
    </w:p>
    <w:p>
      <w:pPr>
        <w:bidi/>
        <w:spacing w:after="60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סמינריון בסיפורת עברית מודרנית: הסיפור הקצר מאת אתגר קרת</w:t>
      </w:r>
    </w:p>
    <w:p>
      <w:pPr>
        <w:bidi/>
        <w:spacing w:after="120"/>
        <w:jc w:val="center"/>
      </w:pPr>
      <w:r>
        <w:rPr>
          <w:rFonts w:ascii="David" w:cs="David" w:eastAsia="David" w:hAnsi="David"/>
          <w:b/>
          <w:bCs/>
          <w:sz w:val="36"/>
          <w:szCs w:val="36"/>
          <w:rtl/>
        </w:rPr>
        <w:t xml:space="preserve">דרכי התמודדות עם קשיים בסיפוריו הקצרים של אתגר קרת</w:t>
      </w:r>
    </w:p>
    <w:p>
      <w:pPr>
        <w:bidi/>
        <w:spacing w:after="800"/>
        <w:jc w:val="center"/>
      </w:pPr>
      <w:r>
        <w:rPr>
          <w:rFonts w:ascii="David" w:cs="David" w:eastAsia="David" w:hAnsi="David"/>
          <w:sz w:val="28"/>
          <w:szCs w:val="28"/>
          <w:rtl/>
        </w:rPr>
        <w:t xml:space="preserve">עיון בסיפורים "האנשים החלולים" (געגועי לקיסינג'ר) ו"מי כמונו יודע" (אוטוקורקט)</w:t>
      </w:r>
    </w:p>
    <w:p>
      <w:pPr>
        <w:bidi/>
        <w:spacing w:after="800"/>
        <w:jc w:val="center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רשימה ביבליוגרפית וראשי פרקים (הצעה)</w:t>
      </w:r>
    </w:p>
    <w:p>
      <w:pPr>
        <w:bidi/>
        <w:spacing w:after="1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שם הקורס: סמינריון בסיפורת עברית מודרנית</w:t>
      </w:r>
    </w:p>
    <w:p>
      <w:pPr>
        <w:bidi/>
        <w:spacing w:after="1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שם המרצה: ד"ר ישראלה וייס</w:t>
      </w:r>
    </w:p>
    <w:p>
      <w:pPr>
        <w:bidi/>
        <w:spacing w:after="1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שם הסטודנט/ית: ____________________</w:t>
      </w:r>
    </w:p>
    <w:p>
      <w:pPr>
        <w:bidi/>
        <w:spacing w:after="1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ת"ז: ____________________</w:t>
      </w:r>
    </w:p>
    <w:p>
      <w:pPr>
        <w:bidi/>
        <w:spacing w:after="160"/>
        <w:jc w:val="center"/>
      </w:pPr>
      <w:r>
        <w:rPr>
          <w:rFonts w:ascii="David" w:cs="David" w:eastAsia="David" w:hAnsi="David"/>
          <w:sz w:val="26"/>
          <w:szCs w:val="26"/>
          <w:rtl/>
        </w:rPr>
        <w:t xml:space="preserve">תאריך הגשה: ____________________</w:t>
      </w:r>
    </w:p>
    <w:p>
      <w:r>
        <w:br w:type="page"/>
      </w:r>
    </w:p>
    <w:p>
      <w:pPr>
        <w:pStyle w:val="Heading1"/>
        <w:bidi/>
        <w:spacing w:after="200" w:before="360" w:line="360"/>
        <w:jc w:val="right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חלק א: רשימה ביבליוגרפית (APA 7)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הרשימה בנויה משלושה מעגלים: (1) המקורות הראשוניים – שני הסיפורים; (2) שישה מאמרים שפיטים עיקריים, שניים בעברית וארבעה באנגלית, שכולם זמינים בטקסט מלא; (3) מקורות משלימים (ספרים ומאמרים נוספים) להרחבה, לפי הצורך ובאישור המרצה. סך המקורות העיקריים (2 + 6 = 8) עומד בדרישת העבודה ל-7–10 מקורות. הרשימה ערוכה לפי כללי APA 7: מקורות בעברית לפי סדר אלף-בית של שם המשפחה, ואחריהם מקורות באנגלית לפי סדר ה-ABC.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1. מקורות ראשוניים (הסיפורים)</w:t>
      </w:r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קרת, א' (1994). האנשים החלולים. בתוך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געגועי לקיסינג'ר</w:t>
      </w:r>
      <w:r>
        <w:rPr>
          <w:rFonts w:ascii="David" w:cs="David" w:eastAsia="David" w:hAnsi="David"/>
          <w:sz w:val="24"/>
          <w:szCs w:val="24"/>
          <w:rtl/>
        </w:rPr>
        <w:t xml:space="preserve">. זמורה-ביתן.</w:t>
      </w:r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קרת, א' (2024). מי כמונו יודע. בתוך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אוטוקורקט</w:t>
      </w:r>
      <w:r>
        <w:rPr>
          <w:rFonts w:ascii="David" w:cs="David" w:eastAsia="David" w:hAnsi="David"/>
          <w:sz w:val="24"/>
          <w:szCs w:val="24"/>
          <w:rtl/>
        </w:rPr>
        <w:t xml:space="preserve">. כנרת, זמורה-ביתן, דביר.</w:t>
      </w:r>
    </w:p>
    <w:p>
      <w:pPr>
        <w:shd w:fill="F2F2F2" w:color="auto" w:val="clear"/>
        <w:bidi/>
        <w:spacing w:after="120" w:line="360"/>
        <w:jc w:val="right"/>
      </w:pPr>
      <w:r>
        <w:rPr>
          <w:rFonts w:ascii="David" w:cs="David" w:eastAsia="David" w:hAnsi="David"/>
          <w:i/>
          <w:iCs/>
          <w:color w:val="555555"/>
          <w:sz w:val="24"/>
          <w:szCs w:val="24"/>
          <w:rtl/>
        </w:rPr>
        <w:t xml:space="preserve">הערה: יש להוסיף את מספרי העמודים של כל סיפור מתוך המהדורה שבידכם, למשל: (עמ' 45–47).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2. שישה מאמרים שפיטים עיקריים (טקסט מלא זמין)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2.1 בעברית</w:t>
      </w:r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כהן, ד' (2015). בשני צירים שונים: תהליך האבל והתקשורת של הורים ואחים שכולים לאחר אבדן ילד בוגר.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מפגש לעבודה חינוכית-סוציאלית</w:t>
      </w:r>
      <w:r>
        <w:rPr>
          <w:rFonts w:ascii="David" w:cs="David" w:eastAsia="David" w:hAnsi="David"/>
          <w:sz w:val="24"/>
          <w:szCs w:val="24"/>
          <w:rtl/>
        </w:rPr>
        <w:t xml:space="preserve">, כג(41). https://kitvei-et.efshar.org.il</w:t>
      </w:r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קצמן, ר' (2005). געגועים למיתוס: אישיות, אתיקה ואידאולוגיה במיתופואסיס הפוסטמודרני של אתגר קרת.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מכאן</w:t>
      </w:r>
      <w:r>
        <w:rPr>
          <w:rFonts w:ascii="David" w:cs="David" w:eastAsia="David" w:hAnsi="David"/>
          <w:sz w:val="24"/>
          <w:szCs w:val="24"/>
          <w:rtl/>
        </w:rPr>
        <w:t xml:space="preserve">, ד, 20–41.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2.2 באנגלית</w:t>
      </w:r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Abramovich, D. (2019). Israeli Holocaust memory in a short story by Etgar Keret.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Australian Journal of Jewish Studies, 32</w:t>
      </w:r>
      <w:r>
        <w:rPr>
          <w:rFonts w:ascii="David" w:cs="David" w:eastAsia="David" w:hAnsi="David"/>
          <w:sz w:val="24"/>
          <w:szCs w:val="24"/>
        </w:rPr>
        <w:t xml:space="preserve">, 21–33.</w:t>
      </w:r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Mendelson-Maoz, A. (2018). Keret's "living-dead" and the sacrifice of Israeli masculinity.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BGU Review: A Journal of Israeli Culture</w:t>
      </w:r>
      <w:r>
        <w:rPr>
          <w:rFonts w:ascii="David" w:cs="David" w:eastAsia="David" w:hAnsi="David"/>
          <w:sz w:val="24"/>
          <w:szCs w:val="24"/>
        </w:rPr>
        <w:t xml:space="preserve">, Winter 2018.</w:t>
      </w:r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Omer-Sherman, R. (2020). "To extract from it some sort of beautiful thing": The Holocaust in the families and fiction of Nava Semel and Etgar Keret.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Humanities, 9</w:t>
      </w:r>
      <w:r>
        <w:rPr>
          <w:rFonts w:ascii="David" w:cs="David" w:eastAsia="David" w:hAnsi="David"/>
          <w:sz w:val="24"/>
          <w:szCs w:val="24"/>
        </w:rPr>
        <w:t xml:space="preserve">(4), Article 137. https://doi.org/10.3390/h9040137</w:t>
      </w:r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Schwartz, Y. (2018). Stam: The unbearable lightness of banality, or on the nature of Etgar Keret's humor.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BGU Review: A Journal of Israeli Culture</w:t>
      </w:r>
      <w:r>
        <w:rPr>
          <w:rFonts w:ascii="David" w:cs="David" w:eastAsia="David" w:hAnsi="David"/>
          <w:sz w:val="24"/>
          <w:szCs w:val="24"/>
        </w:rPr>
        <w:t xml:space="preserve">, Winter 2018.</w:t>
      </w:r>
    </w:p>
    <w:p>
      <w:pPr>
        <w:shd w:fill="F2F2F2" w:color="auto" w:val="clear"/>
        <w:bidi/>
        <w:spacing w:after="120" w:line="360"/>
        <w:jc w:val="right"/>
      </w:pPr>
      <w:r>
        <w:rPr>
          <w:rFonts w:ascii="David" w:cs="David" w:eastAsia="David" w:hAnsi="David"/>
          <w:i/>
          <w:iCs/>
          <w:color w:val="555555"/>
          <w:sz w:val="24"/>
          <w:szCs w:val="24"/>
          <w:rtl/>
        </w:rPr>
        <w:t xml:space="preserve">קישורים לטקסט המלא של כל מאמר, פרטי כתב העת ותרומתו לעבודה – בקובץ הנפרד "רשימת מאמרים שפיטים".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3. מקורות משלימים (ספרים ומאמרים נוספים, אופציונלי)</w:t>
      </w:r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טאוב, ג' (1997).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המרד השפוף: על תרבות צעירה בישראל</w:t>
      </w:r>
      <w:r>
        <w:rPr>
          <w:rFonts w:ascii="David" w:cs="David" w:eastAsia="David" w:hAnsi="David"/>
          <w:sz w:val="24"/>
          <w:szCs w:val="24"/>
          <w:rtl/>
        </w:rPr>
        <w:t xml:space="preserve">. הקיבוץ המאוחד.</w:t>
      </w:r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מילנר, א' (2003).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קרעי עבר: ביוגרפיה, זהות וזיכרון בסיפורת הדור השני</w:t>
      </w:r>
      <w:r>
        <w:rPr>
          <w:rFonts w:ascii="David" w:cs="David" w:eastAsia="David" w:hAnsi="David"/>
          <w:sz w:val="24"/>
          <w:szCs w:val="24"/>
          <w:rtl/>
        </w:rPr>
        <w:t xml:space="preserve">. עם עובד.</w:t>
      </w:r>
    </w:p>
    <w:p>
      <w:pPr>
        <w:bidi/>
        <w:spacing w:after="160" w:line="360"/>
        <w:ind w:left="720" w:hanging="7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מנדלסון-מעוז, ע' (1998). סיטואציות קיצוניות, זוועתיות וגרוטסקיות ביצירותיהם של קסטל-בלום וקרת. </w:t>
      </w:r>
      <w:r>
        <w:rPr>
          <w:rFonts w:ascii="David" w:cs="David" w:eastAsia="David" w:hAnsi="David"/>
          <w:i/>
          <w:iCs/>
          <w:sz w:val="24"/>
          <w:szCs w:val="24"/>
          <w:rtl/>
        </w:rPr>
        <w:t xml:space="preserve">דפים למחקר בספרות</w:t>
      </w:r>
      <w:r>
        <w:rPr>
          <w:rFonts w:ascii="David" w:cs="David" w:eastAsia="David" w:hAnsi="David"/>
          <w:sz w:val="24"/>
          <w:szCs w:val="24"/>
          <w:rtl/>
        </w:rPr>
        <w:t xml:space="preserve">, 11, 269–295.</w:t>
      </w:r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Buchweitz, N. (2018). The Seven Good Years as Etgar Keret's poetic credo.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BGU Review: A Journal of Israeli Culture</w:t>
      </w:r>
      <w:r>
        <w:rPr>
          <w:rFonts w:ascii="David" w:cs="David" w:eastAsia="David" w:hAnsi="David"/>
          <w:sz w:val="24"/>
          <w:szCs w:val="24"/>
        </w:rPr>
        <w:t xml:space="preserve">, Winter 2018.</w:t>
      </w:r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Karti Shemtov, V. (2018). A sense of no ending, part 2: Etgar Keret and the changing concept of time in contemporary Hebrew literature.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Dibur Literary Journal, 6</w:t>
      </w:r>
      <w:r>
        <w:rPr>
          <w:rFonts w:ascii="David" w:cs="David" w:eastAsia="David" w:hAnsi="David"/>
          <w:sz w:val="24"/>
          <w:szCs w:val="24"/>
        </w:rPr>
        <w:t xml:space="preserve">, 57–64.</w:t>
      </w:r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Katsman, R. (2013). Etgar Keret: The minimal metaphysical origin.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Symposium: A Quarterly Journal in Modern Literatures, 67</w:t>
      </w:r>
      <w:r>
        <w:rPr>
          <w:rFonts w:ascii="David" w:cs="David" w:eastAsia="David" w:hAnsi="David"/>
          <w:sz w:val="24"/>
          <w:szCs w:val="24"/>
        </w:rPr>
        <w:t xml:space="preserve">(4), 189–204.</w:t>
      </w:r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Lazarus, R. S., &amp; Folkman, S. (1984).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Stress, appraisal, and coping</w:t>
      </w:r>
      <w:r>
        <w:rPr>
          <w:rFonts w:ascii="David" w:cs="David" w:eastAsia="David" w:hAnsi="David"/>
          <w:sz w:val="24"/>
          <w:szCs w:val="24"/>
        </w:rPr>
        <w:t xml:space="preserve">. Springer.</w:t>
      </w:r>
    </w:p>
    <w:p>
      <w:pPr>
        <w:spacing w:after="160" w:line="360"/>
        <w:ind w:left="720" w:hanging="720"/>
        <w:jc w:val="left"/>
      </w:pPr>
      <w:r>
        <w:rPr>
          <w:rFonts w:ascii="David" w:cs="David" w:eastAsia="David" w:hAnsi="David"/>
          <w:sz w:val="24"/>
          <w:szCs w:val="24"/>
        </w:rPr>
        <w:t xml:space="preserve">Rubin, S. S. (1999). The two-track model of bereavement: Overview, retrospect, and prospect. </w:t>
      </w:r>
      <w:r>
        <w:rPr>
          <w:rFonts w:ascii="David" w:cs="David" w:eastAsia="David" w:hAnsi="David"/>
          <w:i/>
          <w:iCs/>
          <w:sz w:val="24"/>
          <w:szCs w:val="24"/>
        </w:rPr>
        <w:t xml:space="preserve">Death Studies, 23</w:t>
      </w:r>
      <w:r>
        <w:rPr>
          <w:rFonts w:ascii="David" w:cs="David" w:eastAsia="David" w:hAnsi="David"/>
          <w:sz w:val="24"/>
          <w:szCs w:val="24"/>
        </w:rPr>
        <w:t xml:space="preserve">(8), 681–714. https://doi.org/10.1080/074811899200731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4. מה תורם כל מאמר לעבודה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המאמר</w:t>
            </w:r>
          </w:p>
        </w:tc>
        <w:tc>
          <w:tcPr>
            <w:tcW w:type="dxa" w:w="26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התחום</w:t>
            </w:r>
          </w:p>
        </w:tc>
        <w:tc>
          <w:tcPr>
            <w:tcW w:type="dxa" w:w="44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השימוש בעבודה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קצמן (2005)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מיתוס, אתיקה ואישיות אצל קרת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הדמויות בונות עולם פרטי בעל חוקים משלו: הבית הסגור של האב, המינימליזם של הסופר (פרקים 2–3)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כהן (2015)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אבל הורים אחרי מות ילד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הסופר האמריקאי שאיבד ילד ופירק משפחה; אובדן כמפרק זהות משפחתית (רקע תאורטי, פרק 3)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Abramovich (2019)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זיכרון השואה, הדור השלישי, אשמה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אשמה וחרטה של ילד כלפי דור ההורים והסבים; זיכרון פרטי מול ממלכתי (מבוא, פרק 2)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Mendelson-Maoz (2018)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"המתים-החיים", קורבן וגבריות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האנשים החלולים כמתים-חיים; האב שמת בפינה; הבן שנעשה אחד מהם (פרק 2, פרק 4)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Omer-Sherman (2020)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הדור השני, משפחה וזיכרון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יחסי אב–בן, הורשת הפחד, ההומור כדרך לחיות עם הטראומה (רקע תאורטי, פרק 2, דיון)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Schwartz (2018)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ההומור ו"סתם" אצל קרת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"סתם קולות", "סתם, ממש סתם", הצוואר – הבנאלי כהתמודדות לא-קורבנית (פרקים 2–3, דיון)</w:t>
            </w:r>
          </w:p>
        </w:tc>
      </w:tr>
    </w:tbl>
    <w:p>
      <w:pPr>
        <w:bidi/>
        <w:spacing w:after="12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shd w:fill="F2F2F2" w:color="auto" w:val="clear"/>
        <w:bidi/>
        <w:spacing w:after="120" w:line="360"/>
        <w:jc w:val="right"/>
      </w:pPr>
      <w:r>
        <w:rPr>
          <w:rFonts w:ascii="David" w:cs="David" w:eastAsia="David" w:hAnsi="David"/>
          <w:i/>
          <w:iCs/>
          <w:color w:val="555555"/>
          <w:sz w:val="24"/>
          <w:szCs w:val="24"/>
          <w:rtl/>
        </w:rPr>
        <w:t xml:space="preserve">הערה על APA 7 בעברית: שם משפחה, ראשי תיבות של השם הפרטי עם גרש (א'), שנה בסוגריים, שם הספר או כתב העת באות נטויה, ללא ציון עיר ההוצאה. בגוף העבודה מצטטים כך: (קצמן, 2005, עמ' 22) או (Schwartz, 2018).</w:t>
      </w:r>
    </w:p>
    <w:p>
      <w:r>
        <w:br w:type="page"/>
      </w:r>
    </w:p>
    <w:p>
      <w:pPr>
        <w:pStyle w:val="Heading1"/>
        <w:bidi/>
        <w:spacing w:after="200" w:before="360" w:line="360"/>
        <w:jc w:val="right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חלק ב: ראשי פרקים (הצעה למבנה העבודה)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המבנה שלהלן עוקב אחר הנחיות הסמינריון: דף פתיחה, תוכן עניינים, תקציר ומילות מפתח, מבוא, רקע תאורטי, שלושה עד חמישה פרקי ניתוח, דיון, סיכום ומסקנות, ביבליוגרפיה, רפלקציה ונספחים. לצד כל פרק מצוינים המקורות שישולבו בו.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שם העבודה (כותרת אינפורמטיבית)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"סתם קולות": דרכי התמודדות עם קשיים בסיפורים "האנשים החלולים" ו"מי כמונו יודע" מאת אתגר קרת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תקציר ומילות מפתח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תקציר של 150–200 מילים: הצגת הנושא, שני הסיפורים, שאלות המחקר, שיטת הניתוח (קריאה צמודה בשילוב מודלים של התמודדות ואובדן) והממצא המרכזי – בשני הסיפורים הדמויות מתמודדות עם הקושי לא בפתרונו אלא בעיצוב מחדש של המציאות באמצעות שפה, פנטזיה ושיתוף, ומחיר ההתמודדות הזו הוא ריקון או היטמעות ב"חלול".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מילות מפתח: </w:t>
      </w:r>
      <w:r>
        <w:rPr>
          <w:rFonts w:ascii="David" w:cs="David" w:eastAsia="David" w:hAnsi="David"/>
          <w:sz w:val="24"/>
          <w:szCs w:val="24"/>
          <w:rtl/>
        </w:rPr>
        <w:t xml:space="preserve">אתגר קרת; הסיפור הקצר; התמודדות (coping); אובדן ושכול; יחסי אב–בן; פנטזיה; הומור; הדור השני; ניכור; שפה.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מבוא</w:t>
      </w:r>
    </w:p>
    <w:p>
      <w:pPr>
        <w:pStyle w:val="ListParagraph"/>
        <w:numPr>
          <w:ilvl w:val="0"/>
          <w:numId w:val="2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הסיפור העברי הקצר: מאפייני הז'אנר (צמצום, סיום פתוח, רגע אחד מכריע) והתפתחותו בספרות הישראלית של שנות התשעים (הולצמן, 2005; טאוב, 1997).</w:t>
      </w:r>
    </w:p>
    <w:p>
      <w:pPr>
        <w:pStyle w:val="ListParagraph"/>
        <w:numPr>
          <w:ilvl w:val="0"/>
          <w:numId w:val="2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סגנון כתיבתו של אתגר קרת: שפה דיבורית, סיפורים קצרצרים, שילוב פנטסטי בתוך יומיום, הומור שחור ו"סתם", מספר בגוף ראשון ילדי או פסיבי (מנדלסון-מעוז, 1998; קצמן, 2005; Schwartz, 2018).</w:t>
      </w:r>
    </w:p>
    <w:p>
      <w:pPr>
        <w:pStyle w:val="ListParagraph"/>
        <w:numPr>
          <w:ilvl w:val="0"/>
          <w:numId w:val="2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הצגת שני הסיפורים ושני הקבצים: געגועי לקיסינג'ר (1994) – ראשית דרכו; אוטוקורקט (2024) – הקובץ המאוחר. מה מאפשרת ההשוואה בין סיפור מוקדם לסיפור מאוחר.</w:t>
      </w:r>
    </w:p>
    <w:p>
      <w:pPr>
        <w:pStyle w:val="ListParagraph"/>
        <w:numPr>
          <w:ilvl w:val="0"/>
          <w:numId w:val="2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הנושא המשותף: דרכי התמודדות עם קשיים – פחד, אובדן, בדידות, ניכור וכישלון.</w:t>
      </w:r>
    </w:p>
    <w:p>
      <w:pPr>
        <w:pStyle w:val="ListParagraph"/>
        <w:numPr>
          <w:ilvl w:val="0"/>
          <w:numId w:val="2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שאלות המחקר:</w:t>
      </w:r>
    </w:p>
    <w:p>
      <w:pPr>
        <w:pStyle w:val="ListParagraph"/>
        <w:numPr>
          <w:ilvl w:val="1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אילו קשיים ניצבים בפני הדמויות בשני הסיפורים, ואילו דרכי התמודדות (ממוקדות-בעיה, ממוקדות-רגש, הימנעות) הן נוקטות?</w:t>
      </w:r>
    </w:p>
    <w:p>
      <w:pPr>
        <w:pStyle w:val="ListParagraph"/>
        <w:numPr>
          <w:ilvl w:val="1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כיצד משמשים השפה, הפנטזיה וההומור כאמצעי התמודדות – של הדמויות ושל המספר – ומה ההבדל בין הסיפור המוקדם למאוחר?</w:t>
      </w:r>
    </w:p>
    <w:p>
      <w:pPr>
        <w:pStyle w:val="ListParagraph"/>
        <w:numPr>
          <w:ilvl w:val="1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מה תפקידו של ה"אחר" (האב; הזר בבית הקפה) בהתמודדות, ומה מחירה של ההתמודדות: הגנה או ריקון?</w:t>
      </w:r>
    </w:p>
    <w:p>
      <w:pPr>
        <w:pStyle w:val="ListParagraph"/>
        <w:numPr>
          <w:ilvl w:val="0"/>
          <w:numId w:val="2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מבנה העבודה בקצרה.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פרק 1: רקע תאורטי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1.1 התמודדות עם לחץ וקשיים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המודל של לזרוס ופולקמן: הערכה ראשונית ומשנית, התמודדות ממוקדת-בעיה מול ממוקדת-רגש, הימנעות והכחשה, והערכה מחודשת של המצב (Lazarus &amp; Folkman, 1984).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מהי "התמודדות מסתגלת" ומהי התמודדות שמחירה גבוה – הבסיס לניתוח בפרקים 3–4.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1.2 אובדן, שכול ופחד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המודל הדו-מסלולי של רובין: מסלול התפקוד ומסלול הקשר המתמשך לנפטר (Rubin, 1999).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שתיקה ו"סתם" כתגובות לאובדן; המשך הדיאלוג עם המת (החיבוק, הלחישה).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1.3 הורשה בין-דורית: יחסי אב–בן והדור השני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קרת כבן לניצולי שואה; "השואה הפרטית" לעומת הזיכרון הממלכתי; הפחד והקולות כנחלה משפחתית (Omer-Sherman, 2020; מילנר, 2003 – אופציונלי).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1.4 הפואטיקה של קרת ככלי התמודדות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סיטואציות קיצוניות שהדמויות מגיבות להן בשגרה; הגרוטסקה כהגנה (מנדלסון-מעוז, 1998).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געגוע למיתוס ובניית עולם פרטי בעל חוקים משלו; האתיקה של המספר (קצמן, 2005).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"המרד השפוף": נסיגה מן הציבורי אל הפרטי והאינטימי כתגובה לעולם מאיים (טאוב, 1997).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ההומור והמילה "סתם" כמנגנון של הקלה וכביטוי לריקנות (Schwartz, 2018 – אופציונלי).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פרק 2: "האנשים החלולים" – הסתגרות, לחישה ושתיקה כדרכי התמודדות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2.1 תקציר הסיפור ומבנהו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ילד מספר בדיעבד: אנשים דופקים בדלת, האב מסתכל בעינית ואינו פותח, מחבק ולוחש; מות האם; מות האב; המספר שותק "כי בסופו של דבר גם אני, כנראה, הייתי אחד מהם".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המספר-ילד המתבגר: הפער בין הפחד של אז לבין ה"סתם" של היום.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2.2 הקושי: פחד, פלישה ובדידות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הדפיקות בדלת, התריסים, ההקפה של הבית – סיטואציה קיצונית שהופכת לשגרה (מנדלסון-מעוז, 1998).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"שיפמן, תפתח את הדלת. אנחנו יודעים שאתה שם" – העולם החיצוני כאיום מתמשך.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2.3 דרכי ההתמודדות של האב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הימנעות והסתגרות: הדלת הסגורה, התריסים, הפינה ליד הפסנתר – התמודדות ממוקדת-רגש ולא ממוקדת-בעיה (Lazarus &amp; Folkman, 1984).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הסבר מחדש של המציאות: "אין ממה לפחד, זה בסך הכול האנשים החלולים... בלי גוף, בלי כלום, סתם קולות" – הפחתת ערך האיום כמנגנון הגנה.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מגע ולחישה: החיבוק "חזק-חזק" והלחישה באוזן כהתמודדות רגשית שמועברת לבן.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2.4 יחסי אב–בן: הורשת הפחד והורשת ההתמודדות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הבן לומד את שיטת האב ("לפעמים אבא היה אומר את מה שיגידו ולפעמים אני"); "האנשים החלולים" כמטאפורה לניכור ולריקנות (רמז לשירו של ט"ס אליוט "האנשים החלולים").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הקשר לדור השני: פחד ללא מקור ברור, שנמסר מאב לבן (Omer-Sherman, 2020).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2.5 התמודדות עם אובדן: מות האם ומות האב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"ואמא מתה בלי קול אבל עם גוף" – היפוך לחלולים; האיש הבוכה על הקבר כ"אחד מהם".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מות האב בפינה ליד הפסנתר, החיבוק ההפוך; שתיקת הבן על הקבר – שני מסלולי האבל (Rubin, 1999).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2.6 מחיר ההתמודדות: "סתם, ממש סתם"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המילים חוזרות "כמו כדור טניס שזרקתי על קיר"; ההיטמעות בחלול. האם ההתמודדות הצילה או רוקנה? (Schwartz, 2018; קצמן, 2005).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פרק 3: "מי כמונו יודע" – דיבור, אידאולוגיה, הסתרה וכתיבה כדרכי התמודדות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3.1 תקציר הסיפור ומבנהו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המספר יושב בבית קפה מול סופר אמריקאי "שלא הפסיק לדבר": שלושה ספרים, פרס בין-לאומי "שלא שמעתי עליו מעולם", וכל משפט שני נפתח ב"ומי כמונו יודע...".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סיפור חייו של הזר: לימודי כתיבה, משפחה, ילד שנהרג בתאונת דרכים, גירושים, גיור והתפקרות, הצטרפות לתנועת מינימליזם – "שני זוגות תחתונים ועט אחד".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המספר מסתיר שיש לו "לפחות עשרים" זוגות תחתונים – "פחדתי שזה ירחיק בינינו".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השקיעה: "אתה ואני יכולים, בעזרת הכתיבה, לשמר את היופי הזה לנצח"; הצוואר של המספר מתחיל לכאוב; "גם אני"; והסיום – "הסיפור הבא שלי הולך להיות על מישהו שנתפס לו הצוואר".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3.2 הקושי: אובדן, כישלון ובדידות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אצל הזר – שרשרת אסונות (מות הילד, פירוק המשפחה) ותהייה על ערך היצירה; אצל המספר – מבוכה, בדידות מול זר כופה, וצורך לשמר קשר במחיר של הסתרה.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3.3 התמודדות באמצעות שפה: הנוסחה "ומי כמונו יודע"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הביטוי החוזר יוצר "אנחנו" מדומה ומגייס את המאזין לשותפות – דיבור בלתי פוסק כוויסות רגשי וכחיפוש תמיכה חברתית (Lazarus &amp; Folkman, 1984).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"תאומים סיאמיים... לב אחד גדול וכואב" – הדימוי הגופני-פנטסטי האופייני לקרת: שותפות כפויה של כאב.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3.4 התמודדות באמצעות אידאולוגיה: המינימליזם והחלפת האמונות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גיור, התפקרות, מינימליזם, "עט אחד זה די והותר" – הזר מגיב לאובדן בבנייה מחדש של חוקי חיים (קצמן, 2005: געגוע לעולם בעל חוקים משלו).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לכאורה התמודדות ממוקדת-בעיה, למעשה הימנעות: הצמצום החומרי כתחליף לעיבוד האבל (Rubin, 1999 – מסלול התפקוד לעומת מסלול הקשר).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3.5 התמודדות באמצעות הסתרה והסכמה: התחתונים והשקיעה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המספר מסתיר את האמת, מהנהן, מסתובב "מתוך נימוס" – התמודדות ממוקדת-רגש ששומרת על הקשר במחיר של ויתור על העצמי ועל הגוף (הצוואר).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3.6 התמודדות באמצעות כתיבה: "פעולת הסחה" או "לשמר את היופי לנצח"?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הסתירה בדברי הזר: היצירה היא "מראית עין של מציאות קרנבלית" המסיחה מן "המציאות האמיתית הקרה" – ובה בעת כלי לשמר יופי לנצח. שתי העמדות הן דרכי בריחה מן הכאב (טאוב, 1997).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"אני הולך לכתוב על השקיעה הזאת" – ההכרזה "נשמעת כמעט כמו איום": הכתיבה כתחרות וכשליטה.</w:t>
      </w:r>
    </w:p>
    <w:p>
      <w:pPr>
        <w:pStyle w:val="Heading3"/>
        <w:bidi/>
        <w:spacing w:after="80" w:before="160" w:line="36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3.7 הסיום: הצוואר במקום השקיעה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המספר לא יכתוב על הנשגב אלא על הכאב הקטן והגופני – ההומור והבנאלי ("סתם") כדרך התמודדות כנה יותר (Schwartz, 2018; מנדלסון-מעוז, 1998).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הסיפור שאנחנו קוראים הוא-הוא הסיפור "על מישהו שנתפס לו הצוואר" – הכתיבה כדרך של קרת להתמודד עם המפגש, בלי "אנחנו" מזויף.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פרק 4: השוואה – שני סיפורים, שתי דרכי התמודדות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היבט</w:t>
            </w:r>
          </w:p>
        </w:tc>
        <w:tc>
          <w:tcPr>
            <w:tcW w:type="dxa" w:w="34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"האנשים החלולים" (1994)</w:t>
            </w:r>
          </w:p>
        </w:tc>
        <w:tc>
          <w:tcPr>
            <w:tcW w:type="dxa" w:w="34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"מי כמונו יודע" (2024)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הקושי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פחד מפלישה, אובדן ההורים, בדידות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אובדן ילד וגירושים (הזר); בדידות ומבוכה (המספר)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הדמות המתמודדת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אב ובן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זר ומספר-מאזין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אמצעי ההתמודדות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הסתגרות, לחישה, הכחשה, שתיקה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דיבור בלתי פוסק, מינימליזם ואידאולוגיה, הסתרה, כתיבה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הפנטזיה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"אנשים חלולים" – קולות בלי גוף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"תאומים סיאמיים" – שני גופים, לב אחד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כיוון ההתמודדות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פנימה: סגירת הדלת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החוצה: פנייה אל האחר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המחיר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ריקון, "סתם", היטמעות בחלול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ויתור על העצמי, "אנחנו" מזויף, צוואר תפוס</w:t>
            </w:r>
          </w:p>
        </w:tc>
      </w:tr>
    </w:tbl>
    <w:p>
      <w:pPr>
        <w:bidi/>
        <w:spacing w:after="12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סעיפי הפרק: 4.1 דמיון – הפנטזיה כדרך לחיות עם קושי; 4.2 שוני – שתיקה מול דיבור, הסתגרות מול חיבור; 4.3 המספר בגוף ראשון כמאזין פסיבי בשני הסיפורים – הילד ששותק והמבוגר שמהנהן; 4.4 מן המוקדם אל המאוחר: מ"סתם קולות" אל "סתם צוואר" – הכתיבה עצמה נעשית דרך ההתמודדות.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דיון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קריאת הממצאים לאור המודלים: מרבית ההתמודדויות בסיפורים הן ממוקדות-רגש והימנעותיות; אף דמות אינה פותרת את הבעיה, אך כולן שורדות אותה.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הפנטזיה והשפה כ"הערכה מחודשת" של המציאות – ההסבר של האב והנוסחה של האמריקאי הם ניסיונות לשנות את משמעות הקושי, לא את הקושי עצמו.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ההקשר הבין-דורי והתרבותי: הפחד המורש, הבית הסגור והדיבור המוגזם כתגובות ישראליות-פרטיות למציאות מאיימת (טאוב, 1997; Omer-Sherman, 2020).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מגבלות המחקר והצעות למחקר המשך (למשל: סיפורים נוספים מאותם קבצים; השוואה לסופרים בני הדור).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סיכום ומסקנות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מענה תמציתי לשלוש שאלות המחקר.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המסקנה המרכזית: אצל קרת ההתמודדות עם קשיים היא עבודה של שפה ודמיון בתוך יחסים – והיא תמיד גובה מחיר.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ביבליוגרפיה</w:t>
      </w:r>
    </w:p>
    <w:p>
      <w:pPr>
        <w:bidi/>
        <w:spacing w:after="12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הרשימה המלאה מחלק א, לפי APA 7 (8–10 מקורות).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רפלקציה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תיאור תהליך העבודה: בחירת הסיפורים והנושא, איתור המקורות, קשיים בקריאה (למשל הבנת הסיום הפתוח) ואופן פתרונם.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תובנות אישיות ומקצועיות: מה למדתי על קרת, על התמודדות ועל עצמי כקורא/ת וכמורה לעתיד.</w:t>
      </w:r>
    </w:p>
    <w:p>
      <w:pPr>
        <w:pStyle w:val="Heading2"/>
        <w:bidi/>
        <w:spacing w:after="120" w:before="240" w:line="360"/>
        <w:jc w:val="right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נספחים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נספח א: "האנשים החלולים" – סריקה.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נספח ב: "מי כמונו יודע" – סריקה.</w:t>
      </w:r>
    </w:p>
    <w:p>
      <w:r>
        <w:br w:type="page"/>
      </w:r>
    </w:p>
    <w:p>
      <w:pPr>
        <w:pStyle w:val="Heading1"/>
        <w:bidi/>
        <w:spacing w:after="200" w:before="360" w:line="360"/>
        <w:jc w:val="right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הנחיות עיצוב להגשה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קובץ וורד; גופן דויד גודל 12 (על פי ההנחיה השנייה) או 14 (על פי ההנחיה הראשונה) – מומלץ לאשר עם המרצה; רווח 1.5; יישור לשני הצדדים.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כותרות ממוספרות, תוכן עניינים אוטומטי, מספור עמודים.</w:t>
      </w:r>
    </w:p>
    <w:p>
      <w:pPr>
        <w:pStyle w:val="ListParagraph"/>
        <w:numPr>
          <w:ilvl w:val="0"/>
          <w:numId w:val="3"/>
        </w:numPr>
        <w:bidi/>
        <w:spacing w:after="60" w:line="360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ציטוט מן הסיפורים: במירכאות, עם ציון עמוד; ציטוט מן המחקר לפי APA 7 בגוף הטקסט.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  <w:lvl w:ilvl="1" w15:tentative="1">
      <w:start w:val="1"/>
      <w:numFmt w:val="bullet"/>
      <w:lvlText w:val="–"/>
      <w:lvlJc w:val="righ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rtl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David" w:cs="David" w:eastAsia="David" w:hAnsi="David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David" w:cs="David" w:eastAsia="David" w:hAnsi="David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David" w:cs="David" w:eastAsia="David" w:hAnsi="David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רשימה ביבליוגרפית וראשי פרקים – אתגר קרת</dc:title>
  <dc:creator>Seminar</dc:creator>
  <cp:lastModifiedBy>Un-named</cp:lastModifiedBy>
  <cp:revision>1</cp:revision>
  <dcterms:created xsi:type="dcterms:W3CDTF">2026-09-07T08:23:38.635Z</dcterms:created>
  <dcterms:modified xsi:type="dcterms:W3CDTF">2026-09-07T08:23:38.635Z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