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16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16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16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17. التعريف الطبيّ للموت</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الأحكام.</w:t>
      </w:r>
    </w:p>
    <w:p>
      <w:pPr>
        <w:bidi/>
        <w:spacing w:after="200" w:line="360"/>
        <w:jc w:val="center"/>
      </w:pPr>
      <w:r>
        <w:rPr>
          <w:rFonts w:ascii="Simplified Arabic" w:cs="Simplified Arabic" w:eastAsia="Simplified Arabic" w:hAnsi="Simplified Arabic"/>
          <w:b/>
          <w:bCs/>
          <w:sz w:val="28"/>
          <w:szCs w:val="28"/>
          <w:rtl/>
        </w:rPr>
        <w:t xml:space="preserve">المطلب الثاني: الفقهيّة.</w:t>
      </w:r>
    </w:p>
    <w:p>
      <w:pPr>
        <w:bidi/>
        <w:spacing w:after="200" w:line="360"/>
        <w:jc w:val="center"/>
      </w:pPr>
      <w:r>
        <w:rPr>
          <w:rFonts w:ascii="Simplified Arabic" w:cs="Simplified Arabic" w:eastAsia="Simplified Arabic" w:hAnsi="Simplified Arabic"/>
          <w:b/>
          <w:bCs/>
          <w:sz w:val="28"/>
          <w:szCs w:val="28"/>
          <w:rtl/>
        </w:rPr>
        <w:t xml:space="preserve">المطلب الثالث: النزع.</w:t>
      </w:r>
    </w:p>
    <w:p>
      <w:pPr>
        <w:bidi/>
        <w:spacing w:after="200" w:line="36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200" w:line="360"/>
        <w:jc w:val="center"/>
      </w:pPr>
      <w:r>
        <w:rPr>
          <w:rFonts w:ascii="Simplified Arabic" w:cs="Simplified Arabic" w:eastAsia="Simplified Arabic" w:hAnsi="Simplified Arabic"/>
          <w:b/>
          <w:bCs/>
          <w:sz w:val="28"/>
          <w:szCs w:val="28"/>
          <w:rtl/>
        </w:rPr>
        <w:t xml:space="preserve">المطلب الخامس: الميت.</w:t>
      </w:r>
    </w:p>
    <w:p>
      <w:pPr>
        <w:bidi/>
        <w:spacing w:after="200" w:line="360"/>
        <w:jc w:val="center"/>
      </w:pPr>
      <w:r>
        <w:rPr>
          <w:rFonts w:ascii="Simplified Arabic" w:cs="Simplified Arabic" w:eastAsia="Simplified Arabic" w:hAnsi="Simplified Arabic"/>
          <w:b/>
          <w:bCs/>
          <w:sz w:val="28"/>
          <w:szCs w:val="28"/>
          <w:rtl/>
        </w:rPr>
        <w:t xml:space="preserve">المطلب السادس: سريريًّا.</w:t>
      </w:r>
    </w:p>
    <w:p>
      <w:pPr>
        <w:bidi/>
        <w:spacing w:after="200" w:line="36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16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16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16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200" w:line="36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200" w:line="36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200" w:line="36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200" w:line="360"/>
        <w:jc w:val="center"/>
      </w:pPr>
      <w:r>
        <w:rPr>
          <w:rFonts w:ascii="Simplified Arabic" w:cs="Simplified Arabic" w:eastAsia="Simplified Arabic" w:hAnsi="Simplified Arabic"/>
          <w:b/>
          <w:bCs/>
          <w:sz w:val="28"/>
          <w:szCs w:val="28"/>
          <w:rtl/>
        </w:rPr>
        <w:t xml:space="preserve">المطلب الخامس: الاحتضار.</w:t>
      </w:r>
    </w:p>
    <w:p>
      <w:pPr>
        <w:bidi/>
        <w:spacing w:after="200" w:line="36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200" w:line="36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200" w:line="36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200" w:line="360"/>
        <w:jc w:val="center"/>
      </w:pPr>
      <w:r>
        <w:rPr>
          <w:rFonts w:ascii="Simplified Arabic" w:cs="Simplified Arabic" w:eastAsia="Simplified Arabic" w:hAnsi="Simplified Arabic"/>
          <w:b/>
          <w:bCs/>
          <w:sz w:val="28"/>
          <w:szCs w:val="28"/>
          <w:rtl/>
        </w:rPr>
        <w:t xml:space="preserve">المطلب التاسع: جذع الدماغ.</w:t>
      </w:r>
    </w:p>
    <w:p>
      <w:pPr>
        <w:bidi/>
        <w:spacing w:after="200" w:line="360"/>
        <w:jc w:val="center"/>
      </w:pPr>
      <w:r>
        <w:rPr>
          <w:rFonts w:ascii="Simplified Arabic" w:cs="Simplified Arabic" w:eastAsia="Simplified Arabic" w:hAnsi="Simplified Arabic"/>
          <w:b/>
          <w:bCs/>
          <w:sz w:val="28"/>
          <w:szCs w:val="28"/>
          <w:rtl/>
        </w:rPr>
        <w:t xml:space="preserve">المطلب العاشر: الغيبوبة.</w:t>
      </w:r>
    </w:p>
    <w:p>
      <w:pPr>
        <w:bidi/>
        <w:spacing w:after="200" w:line="36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200" w:line="36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16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16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16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16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200" w:line="36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200" w:line="36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200" w:line="36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3"/>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5"/>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6"/>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7"/>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8"/>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16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3"/>
      </w:r>
      <w:r>
        <w:rPr>
          <w:rStyle w:val="FootnoteReference"/>
        </w:rPr>
        <w:footnoteReference w:id="54"/>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16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60"/>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2"/>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4"/>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5"/>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16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16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16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7"/>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16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200" w:line="36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200" w:line="36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8"/>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70"/>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71"/>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16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2"/>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3"/>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4"/>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16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8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91"/>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16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16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16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16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0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16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16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200" w:line="36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200" w:line="36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200" w:line="36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200" w:line="36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1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1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16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6"/>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16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18"/>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200" w:line="36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23"/>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25"/>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6"/>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30"/>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33"/>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16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34"/>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35"/>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16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38"/>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39"/>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40"/>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16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200" w:line="36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5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55"/>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5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9"/>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60"/>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62"/>
      </w:r>
      <w:r>
        <w:rPr>
          <w:rStyle w:val="FootnoteReference"/>
        </w:rPr>
        <w:footnoteReference w:id="163"/>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6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66"/>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67"/>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200" w:line="36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200" w:line="36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16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16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74"/>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7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7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200" w:line="36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16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8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16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16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8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16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16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8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8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16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16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16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16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16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16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16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16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76">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9">
    <w:p>
      <w:pPr>
        <w:bidi/>
        <w:spacing w:line="240"/>
      </w:pPr>
      <w:r>
        <w:rPr>
          <w:rStyle w:val="FootnoteReference"/>
        </w:rPr>
        <w:footnoteRef/>
      </w:r>
      <w:r>
        <w:rPr>
          <w:rFonts w:ascii="Simplified Arabic" w:cs="Simplified Arabic" w:eastAsia="Simplified Arabic" w:hAnsi="Simplified Arabic"/>
          <w:sz w:val="22"/>
          <w:szCs w:val="22"/>
          <w:rtl/>
        </w:rPr>
        <w:t xml:space="preserve"> مركز الفتوى بإسلام ويب. فتوى رقم (9005): حكم رفع الأجهزة عن الميت دماغيًا. https://www.islamweb.net/ar/fatwa/9005</w:t>
      </w:r>
    </w:p>
  </w:footnote>
  <w:footnote w:id="18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8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8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8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caf26581e153dde661010a0b6699c66e3a5ef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2026-08-15T17:23:43.446Z</dcterms:created>
  <dcterms:modified xsi:type="dcterms:W3CDTF">2026-08-15T17:23:43.446Z</dcterms:modified>
</cp:coreProperties>
</file>

<file path=docProps/custom.xml><?xml version="1.0" encoding="utf-8"?>
<Properties xmlns="http://schemas.openxmlformats.org/officeDocument/2006/custom-properties" xmlns:vt="http://schemas.openxmlformats.org/officeDocument/2006/docPropsVTypes"/>
</file>