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המקורות הראשוניים שבמקראת הקורס מאפשרים לעמוד על טיב הטענות. שטקר, בנאומו "תביעתנו כלפי היהדות המודרנית" (ספטמבר 1879), תיאר את היהודים כ"עם בתוך עם, מדינה בתוך מדינה", הזהיר מפני ארבעים וחמישה אלף היהודים של ברלין השולטים לדבריו בכסף, בבנקים ובעיתונות, ודרש מהם "להשתתף בעבודה הגרמנית" ולוותר על השאיפה "להפוך לאדוניה של גרמניה" .</w:t>
      </w:r>
      <w:r>
        <w:rPr>
          <w:rStyle w:val="FootnoteReference"/>
        </w:rPr>
        <w:footnoteReference w:id="19"/>
      </w:r>
      <w:r>
        <w:rPr>
          <w:rFonts w:ascii="David" w:cs="David" w:eastAsia="David" w:hAnsi="David"/>
          <w:sz w:val="24"/>
          <w:szCs w:val="24"/>
          <w:rtl/>
        </w:rPr>
        <w:t xml:space="preserve"> מאר, בחיבורו "ניצחון היהדות על הגרמאניות", הציג את הדברים בלשון של גורל היסטורי: היהדות כבר ניצחה, המדינה "הנוצרית" אינה יכולה לעצור אותה, ובתוך ארבעה דורות לא תיוותר משרה בגרמניה שלא תיכבש בידי יהודים .</w:t>
      </w:r>
      <w:r>
        <w:rPr>
          <w:rStyle w:val="FootnoteReference"/>
        </w:rPr>
        <w:footnoteReference w:id="20"/>
      </w:r>
      <w:r>
        <w:rPr>
          <w:rFonts w:ascii="David" w:cs="David" w:eastAsia="David" w:hAnsi="David"/>
          <w:sz w:val="24"/>
          <w:szCs w:val="24"/>
          <w:rtl/>
        </w:rPr>
        <w:t xml:space="preserve"> טרייצ'קה ניסח את הדברים במתינות של מלומד, אך הגיע לאותה מסקנה: ההגירה מ"העריסה הפולנית שאינה נדלית" מאיימת על התרבות הלאומית, העיתונות הגרמנית נשלטת בידי יהודים, ו"עד לחוגים בעלי ההשכלה הגבוהה ביותר נשמע כיום פה אחד: היהודים הם אסוננו" .</w:t>
      </w:r>
      <w:r>
        <w:rPr>
          <w:rStyle w:val="FootnoteReference"/>
        </w:rPr>
        <w:footnoteReference w:id="21"/>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שבה אפילו עלילת הדם מוסברת כביטוי ל"אהבה העצמית העצומה של העברים, העוינת לכל זולתם", וזהו החיבור שהרצל קרא בשנת 1882 .</w:t>
      </w:r>
      <w:r>
        <w:rPr>
          <w:rStyle w:val="FootnoteReference"/>
        </w:rPr>
        <w:footnoteReference w:id="22"/>
      </w:r>
      <w:r>
        <w:rPr>
          <w:rFonts w:ascii="David" w:cs="David" w:eastAsia="David" w:hAnsi="David"/>
          <w:sz w:val="24"/>
          <w:szCs w:val="24"/>
          <w:rtl/>
        </w:rPr>
        <w:t xml:space="preserve">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23"/>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4"/>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בכרוז הייסוד שלה הכריזה האגודה שהיהודים הגרמנים "נמסרו בשמחה ובהתלהבות לחיי הכלל של העם הגרמני", ושהם מתארגנים כדי "להגן בכוחנו שלנו על מעמדנו במולדתנו".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5"/>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7"/>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8"/>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9"/>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30"/>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31"/>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32"/>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33"/>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4"/>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5"/>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6"/>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7"/>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8"/>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9"/>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(1990).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(מהדורה שנייה). תל אביב: מורשת.</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דירינג, א' (1881). שאלת היהודים כשאלת הגזע.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355-356). רעננה: האוניברסיטה הפתוחה.</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73-94.</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מאר, ו' (1879). ניצחון היהדות על הגרמאניות.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349-352). רעננה: האוניברסיטה הפתוחה.</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טרייצ'קה, ה' פ' (1879). דבר על יהדותנו.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357-360).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שטקר, א' (1879). תביעתנו כלפי היהדות המודרנית.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345-347). רעננה: האוניברסיטה הפתוחה.</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G. J. (1964).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New York: John Wiley &amp; Sons.</w:t>
      </w:r>
    </w:p>
    <w:p>
      <w:pPr>
        <w:bidi w:val="false"/>
        <w:spacing w:after="240" w:line="240" w:lineRule="auto"/>
        <w:ind w:left="720" w:hanging="720"/>
        <w:jc w:val="left"/>
      </w:pPr>
      <w:r>
        <w:rPr>
          <w:rFonts w:ascii="David" w:cs="David" w:eastAsia="David" w:hAnsi="David"/>
          <w:sz w:val="24"/>
          <w:szCs w:val="24"/>
          <w:rtl w:val="false"/>
        </w:rPr>
        <w:t xml:space="preserve">Pulzer, P. G. J.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מהדורה שנייה (תל אביב: מורשת, 1990), עמ' 1-2;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1-27.</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73-94;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88-105.</w:t>
      </w:r>
    </w:p>
  </w:footnote>
  <w:footnote w:id="1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אדולף שטקר, "תביעתנו כלפי היהדות המודרנית"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345-347.</w:t>
      </w:r>
    </w:p>
  </w:footnote>
  <w:footnote w:id="2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וילהלם מאר, "ניצחון היהדות על הגרמאניות"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349-352.</w:t>
      </w:r>
    </w:p>
  </w:footnote>
  <w:footnote w:id="2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היינריך פון טרייצ'קה, "דבר על יהדותנו"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357-360.</w:t>
      </w:r>
    </w:p>
  </w:footnote>
  <w:footnote w:id="2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אויגן דירינג, "שאלת היהודים כשאלת הגזע" (1881),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355-356.</w:t>
      </w:r>
    </w:p>
  </w:footnote>
  <w:footnote w:id="2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49-52, 92-95.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106-130.</w:t>
      </w:r>
    </w:p>
  </w:footnote>
  <w:footnote w:id="2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"ההכרזה הפומבית על הקמת האגודה המרכזית של אזרחים גרמנים בני הדת היהודית" (26 במאי 1893),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363; 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(1988), pp. 121-130.</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Peter G. J.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(New York: John Wiley &amp; Sons, 1964), pp. 122-137.</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(1964), pp. 156-183;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91-95.</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3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102-103, 111-112;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3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2026-09-19T10:20:10.692Z</dcterms:created>
  <dcterms:modified xsi:type="dcterms:W3CDTF">2026-09-19T10:20:10.692Z</dcterms:modified>
</cp:coreProperties>
</file>

<file path=docProps/custom.xml><?xml version="1.0" encoding="utf-8"?>
<Properties xmlns="http://schemas.openxmlformats.org/officeDocument/2006/custom-properties" xmlns:vt="http://schemas.openxmlformats.org/officeDocument/2006/docPropsVTypes"/>
</file>