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השאלה אינה איזה חוק הופר אלא מי נפגע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הנתונים על פגיעות מיניות ממחישים מדוע הגישה מושכת תשומת לב. רק 13.7% מהפונות למרכזי הסיוע לנפגעות תקיפה מינית מגישות תלונה במשטרה, וכ-84% מהתלונות נסגרות ללא כתב אישום, כך שהצדק הפורמלי חומק מידיהן של רוב הנפגעות (קלר-חלמיש ופלג-קוריאט, 2020: 37-38). בישראל אין תוכנית ממלכתית לצדק מאחה בעבירות מין, אף שוועדה בין-משרדית בראשות השופטת בדימוס ברלינר המליצה ב-2020 לפתח אותה. תוכנית "בצדק", הפועלת מאז 2011 ללא תמיכה ממסדית, קיבלה יותר מ-400 פניות, כ-65% מהן מנפגעות ומנפגעים, וכ-30% מהפניות הבשילו לתהליך מלא (הדר וגל, 2023: 356, 361). מחקר שראיין עשרים נפגעות ונפגעי אלימות מינית שהשתתפו במפגשים כאלה, לצד חמישה תומכים וחמש מנחות, מצא שינויים מיטיבים בעיקר ביחס הנפגעות לעצמן ולפוגע: ירידה בחרדה ובאשמה, תחושת העצמה ומסוגלות והשלמה עם הפגיעה. השינויים ביחס לקהילה היו מצומצמים, ואצל חלק מהנפגעות עלו כעס ואכזבה כלפי משפחה וחברים שלא תמכו (הדר וגל, 2023: 364-368).</w:t>
      </w:r>
    </w:p>
    <w:p>
      <w:pPr>
        <w:spacing w:lineRule="auto" w:line="360" w:after="120" w:before="0"/>
        <w:jc w:val="both"/>
        <w:bidi w:val="1"/>
      </w:pPr>
      <w:r>
        <w:rPr>
          <w:rFonts w:ascii="David" w:hAnsi="David" w:cs="David" w:eastAsia="David"/>
          <w:b w:val="0"/>
          <w:i w:val="0"/>
          <w:sz w:val="24"/>
          <w:szCs w:val="24"/>
        </w:rPr>
        <w:t>בהשוואה בינלאומית, תהליכי צדק מאחה בפגיעות מיניות מתקיימים ברחבי העולם בתוכניות שונות, חלקן ממוקדות בנפגעת, חלקן בפוגע או בבני נוער, ובמגוון רחב של קשרי גומלין עם רשויות המדינה, כך שאין מודל אחד שעונה על ציפיות כל הצדדים (קלר-חלמיש ופלג-קוריאט, 2020: 46-47). ההיבט הרב-תרבותי בולט בישראל במיוחד. בחברה הערבית, הקולקטיביסטית יותר, כבוד המשפחה ושמה מובילים משפחות רבות להעדיף טיפול פנימי בפגיעה, בין השאר דרך הסולחה המסורתית, שדומה בתכליתה לצדק מאחה, וזאת גם על רקע אמון נמוך במשטרה ובמערכת המשפט (Peleg-Koriat, 2026: 1907). במחקר שהשווה בין 257 משיבים יהודים ל-260 ערבים, היהודים תפסו פגיעה מינית בתוך המשפחה כחמורה יותר מפגיעה מחוץ לה ותמכו פחות בצדק מאחה במקרים אלה, ואילו הערבים לא הבחינו בין שני סוגי הפגיעה, ותמיכתם בהליך הייתה גבוהה יותר והושפעה פחות מחומרת העבירה (Peleg-Koriat, 2026).</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זו הפורמלית של משטרה ובית משפט, מדביקה לאדם תווית של "עבריין" המעצבת את זהותו ואת יחסם של אחרים אליו. כאן עוברת ההבחנה בין עבריינות ראשונית, מעשה ראשון בעל גורמים מזדמנים, לבין עבריינות משנית, שבה הסטייה נעשית לאמצעי הגנה או הסתגלות לבעיות שהתיוג עצמו יצר (Lemert, 1967, כפי שמצוטט אצל Bernburg, 2019). סקירת המחקר העדכני מזהה שלושה תהליכים שדרכם תיוג פלילי רשמי מגדיל את הסיכוי לעבריינות בהמשך: גיבוש תפיסה עצמית סוטה, הדרה חברתית שבה מורים, מעסיקים ובני קהילה דוחים את המתויג והוא עצמו נסוג מהם מחשש לדחייה, והשתקעות בקבוצות עברייניות שבהן התווית אינה מכשול אלא יתרון. מיעוטים ועניים פגיעים יותר לתיוג בשל סטריאוטיפים הקושרים אותם לפשיעה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טען שבחברות קהילתניות הגינוי המוסרי, הבִּיוּש, מלווה במאמצים להשיב את הפוגע לקהילה דרך סליחה, שמירה על הקשרים וטקסים המסמנים שהוא אינו עוד סוטה, ואילו בחברות אינדיבידואליסטיות הביוש מסתיים בסטיגמה, ולכן התיוג הפורמלי בהן קרימינוגני יותר (Braithwaite, 1989, כפי שמצוטט אצל Bernburg, 2019). המפגש המאחה הוא הגלמה מוסדית של הרעיון: הפוגע עומד מול הנזק בנוכחות אנשים שחשובים לו, מקבל אחריות, ומתקבל בחזרה לקהילה בתום ההליך. הנפגעות עצמן ציפו שהפוגע ייקח אחריות במפגש, ותומך של נפגע תיאר את כוחה של הקהילה להיות מגוננת ולהתמודד עם הפוגע בעת ובעונה אחת (הדר וגל, 2023: 364-367).</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מראה שהמילה "קורבן" בשפות המערב נגזרת מן המילה הלטינית לבעל חיים המוקרב, בעוד שבסינית וביפנית מכונה הנפגע במונח ניטרלי, "מי שספג את הנזק". התווית נושאת קונוטציה של סבל פסיבי וחוסר אונים, ומי שמסרב לה ומציג את עצמו כשורד חזק מעורר לעיתים עוינות (Van Dijk, 2020: 74-76). ניסוי שבו תוארה אותה אישה פעם כ"קורבן" ופעם כ"שורדת" של אונס מצא שהמילה "קורבן" גרמה למשיבים לתפוס אותה כחלשה, פסיבית ותמימה יותר (Papendick &amp; Bohner, 2017, כפי שמצוטט אצל Van Dijk, 2020). ההליך הפלילי מקבע את התווית, שכן הנפגע הוא בו עד ולא צד. צדק מאחה מציע מסלול הפוך: הנפגע בוחר, מדבר בקולו ומעצב את הסכם התיקון.</w:t>
      </w:r>
    </w:p>
    <w:p>
      <w:pPr>
        <w:spacing w:lineRule="auto" w:line="360" w:after="120" w:before="0"/>
        <w:jc w:val="both"/>
        <w:bidi w:val="1"/>
      </w:pPr>
      <w:r>
        <w:rPr>
          <w:rFonts w:ascii="David" w:hAnsi="David" w:cs="David" w:eastAsia="David"/>
          <w:b w:val="0"/>
          <w:i w:val="0"/>
          <w:sz w:val="24"/>
          <w:szCs w:val="24"/>
        </w:rPr>
        <w:t>יחסיות הסטייה ניכרת גם בשאלה מי נחשב ראוי להליך מאחה. בשני ניסויים שנערכו בישראל, עם 446 ו-560 משתתפים, נמצאה הטיה אתנית מובהקת בתמיכה בצדק מאחה לפי זהותם של הפוגע, הנפגע והמשיב, חזקה יותר בעבירות על רקע פוליטי מאשר בעבירות פליליות רגילות, ומתווכת במלואה דרך האמונה ביכולתו של הפוגע להשתנות (Peleg-Koriat et al., 2025). אותו מעשה נתפס כניתן לתיקון או לא לפי מי שביצע אותו, וההחלטה מי יופנה להליך מאחה ומי לענישה היא עצמה תגובה חברתית מתייגת.</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מכיוון מנוגד, מנקודת מבטה של הנפגעת ושל יחסי הכוח הממוגדרים סביבה. המאבק הפמיניסטי של שלושים השנים האחרונות שינה חוקים ונהלים, אך לא את חוויית הנפגעות בהליך הפלילי, שמתמקד בנאשם ולא בהן. הספרות מכנה את המסע שהן עוברות בו "אונס שני": חוסר אמון, זלזול, פקפוק בחוויותיהן, והפיכתן לאובייקט כפי שנעשה להן בעת הפגיעה, כלומר קורבנות משנית (קלר-חלמיש ופלג-קוריאט, 2020: 37-38). מול זה עומדים צורכי הצדק וההחלמה של הנפגעות: תחושת ביטחון והטלת האחריות על הפוגע, קבלת תשובות, איחוי מערכות היחסים, ואיחוי תחושת העצמי והפסקת ההאשמה העצמית (קלר-חלמיש ופלג-קוריאט, 2020: 37).</w:t>
      </w:r>
    </w:p>
    <w:p>
      <w:pPr>
        <w:spacing w:lineRule="auto" w:line="360" w:after="120" w:before="0"/>
        <w:jc w:val="both"/>
        <w:bidi w:val="1"/>
      </w:pPr>
      <w:r>
        <w:rPr>
          <w:rFonts w:ascii="David" w:hAnsi="David" w:cs="David" w:eastAsia="David"/>
          <w:b w:val="0"/>
          <w:i w:val="0"/>
          <w:sz w:val="24"/>
          <w:szCs w:val="24"/>
        </w:rPr>
        <w:t>התגובה החברתית לנפגע עצמו ממוגדרת אף היא. ניתוח של 1,890 תגובות גולשים לחשיפות של נפגעי פגיעה מינית במסגרת #MeToo בישראל מצא שרק 1.1% מהתגובות היו לא תומכות, אך נשים זכו לתמיכה רגשית ורשתית רבה יותר מגברים, ואילו גברים קיבלו יותר תמיכה מעריכה, דפוס המבטא סטריאוטיפים מגדריים כלפי קורבנותם (לוינשטיין-ברקאי, 2020). זו הסיבה שהגישה הפמיניסטית מתנגדת לדמות "הקורבן האידיאלי" ודורשת הכרה גם במי שאינו תואם אותה. אך גם צדק מאחה חשוד בעיניה, בשל מאפייניה הייחודיים של הפגיעה המינית: הבושה, הטאבו, הפגיעה הרגשית המוגברת, החשש לביטחון והפגיעה באמון הבסיסי, שכן רוב הפוגעים מוכרים לנפגעת. קלר-חלמיש ופלג-קוריאט (2020) טוענות שמחאת #MeToo חשפה את כישלון ההליך הפלילי, ולכן יש להנגיש צדק מאחה לפגיעות מיניות בתנאים מגוננים: וולונטריות מלאה לכל הצדדים, הכנה מעמיקה, מנחים בעלי מומחיות וקריטריונים ברורים להתאמת המקרה (עמ' 43-45). ממצאי הראיונות תומכים בעמדה זו. הנפגעות תיארו את ההליך כחוויה של החזרת שליטה ואוטונומיה, שכן הן מובילות אותו ומחליטות על כל פרט בו (הדר וגל, 2023: 369-370).</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ובמניעת קיבוע זהותו העבריינית, והוויקטימולוגיה הפמיניסטית בנפגעת ובפערי הכוח. ההליך מצליח רק כשהוא מחזיק את שתיהן: שילוב הפוגע מחדש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בודקת מה ההליך עושה בפועל לנפגעות ולפוגעים (הדר וגל, 2023). היהדות נורמטיבית: היא אינה שואלת אם המפגש עובד אלא קובעת שהוא חובה. ההבדל השני, החריף יותר, נוגע לנפגע. הוויקטימולוגיה הפמיניסטית עומדת על כך שההליך חייב להיות וולונטרי לחלוטין ושהסליחה, אם תבוא, תצמח מתוך הדיאלוג ובקצב של הנפגעת (הדר וגל, 2023; קלר-חלמיש ופלג-קוריאט, 2020).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ולהנגשה של תהליכי צדק מאחה במקרים של פגיעה מינית. קרימינולוגיה ישראלית, ט, 33-53.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https://doi.org/10.1007/978-3-030-20779-3_10</w:t>
      </w:r>
    </w:p>
    <w:p>
      <w:pPr>
        <w:spacing w:lineRule="auto" w:line="360" w:after="160" w:before="0"/>
        <w:ind w:left="709" w:hanging="709"/>
        <w:jc w:val="left"/>
        <w:bidi w:val="0"/>
      </w:pPr>
      <w:r>
        <w:rPr>
          <w:rFonts w:ascii="David" w:hAnsi="David" w:cs="David" w:eastAsia="David"/>
          <w:b w:val="0"/>
          <w:i w:val="0"/>
          <w:sz w:val="24"/>
          <w:szCs w:val="24"/>
        </w:rPr>
        <w:t>Peleg-Koriat, I. (2026). Ethnic differences in support for restorative justice in sexual abuse cases: The role of offense severity and malleability beliefs. Violence Against Women, 32(6-7), 1901-1923. https://doi.org/10.1177/10778012251347588</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https://doi.org/10.1007/978-3-030-41622-5_6</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