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60"/>
        <w:jc w:val="center"/>
      </w:pPr>
      <w:r>
        <w:rPr>
          <w:rFonts w:ascii="Times New Roman" w:cs="Traditional Arabic" w:hAnsi="Times New Roman"/>
          <w:b w:val="false"/>
          <w:sz w:val="32"/>
          <w:szCs w:val="32"/>
          <w:rtl/>
        </w:rPr>
        <w:t xml:space="preserve"> </w:t>
      </w:r>
    </w:p>
    <w:p>
      <w:pPr>
        <w:bidi/>
        <w:spacing w:after="120" w:before="240" w:line="360"/>
        <w:jc w:val="center"/>
      </w:pPr>
      <w:r>
        <w:rPr>
          <w:rFonts w:ascii="Times New Roman" w:cs="Traditional Arabic" w:hAnsi="Times New Roman"/>
          <w:b/>
          <w:bCs/>
          <w:sz w:val="40"/>
          <w:szCs w:val="40"/>
          <w:rtl/>
        </w:rPr>
        <w:t xml:space="preserve">الكلّيّة الأكاديميّة أونو</w:t>
      </w:r>
    </w:p>
    <w:p>
      <w:pPr>
        <w:bidi/>
        <w:spacing w:after="120" w:before="0" w:line="360"/>
        <w:jc w:val="center"/>
      </w:pPr>
      <w:r>
        <w:rPr>
          <w:rFonts w:ascii="Times New Roman" w:cs="Traditional Arabic" w:hAnsi="Times New Roman"/>
          <w:b w:val="false"/>
          <w:sz w:val="32"/>
          <w:szCs w:val="32"/>
          <w:rtl/>
        </w:rPr>
        <w:t xml:space="preserve">قسم اللغة العربيّة وآدابها</w:t>
      </w:r>
    </w:p>
    <w:p>
      <w:pPr>
        <w:bidi/>
        <w:spacing w:after="120" w:before="0" w:line="360"/>
        <w:jc w:val="center"/>
      </w:pPr>
      <w:r>
        <w:rPr>
          <w:rFonts w:ascii="Times New Roman" w:cs="Traditional Arabic" w:hAnsi="Times New Roman"/>
          <w:b w:val="false"/>
          <w:sz w:val="32"/>
          <w:szCs w:val="32"/>
          <w:rtl/>
        </w:rPr>
        <w:t xml:space="preserve"> </w:t>
      </w:r>
    </w:p>
    <w:p>
      <w:pPr>
        <w:bidi/>
        <w:spacing w:after="120" w:before="480" w:line="360"/>
        <w:jc w:val="center"/>
      </w:pPr>
      <w:r>
        <w:rPr>
          <w:rFonts w:ascii="Times New Roman" w:cs="Traditional Arabic" w:hAnsi="Times New Roman"/>
          <w:b/>
          <w:bCs/>
          <w:sz w:val="32"/>
          <w:szCs w:val="32"/>
          <w:rtl/>
        </w:rPr>
        <w:t xml:space="preserve">اقتراح بحث للحلقة الدّراسيّة في الأدب العربيّ</w:t>
      </w:r>
    </w:p>
    <w:p>
      <w:pPr>
        <w:bidi/>
        <w:spacing w:after="120" w:before="0" w:line="360"/>
        <w:jc w:val="center"/>
      </w:pPr>
      <w:r>
        <w:rPr>
          <w:rFonts w:ascii="Times New Roman" w:cs="Traditional Arabic" w:hAnsi="Times New Roman"/>
          <w:b w:val="false"/>
          <w:sz w:val="32"/>
          <w:szCs w:val="32"/>
          <w:rtl/>
        </w:rPr>
        <w:t xml:space="preserve"> </w:t>
      </w:r>
    </w:p>
    <w:p>
      <w:pPr>
        <w:bidi/>
        <w:spacing w:after="120" w:before="480" w:line="360"/>
        <w:jc w:val="center"/>
      </w:pPr>
      <w:r>
        <w:rPr>
          <w:rFonts w:ascii="Times New Roman" w:cs="Traditional Arabic" w:hAnsi="Times New Roman"/>
          <w:b/>
          <w:bCs/>
          <w:sz w:val="44"/>
          <w:szCs w:val="44"/>
          <w:rtl/>
        </w:rPr>
        <w:t xml:space="preserve">مظاهر السّخرية في رسالة الغفران لأبي العلاء المعرّيّ:</w:t>
      </w:r>
    </w:p>
    <w:p>
      <w:pPr>
        <w:bidi/>
        <w:spacing w:after="120" w:before="0" w:line="360"/>
        <w:jc w:val="center"/>
      </w:pPr>
      <w:r>
        <w:rPr>
          <w:rFonts w:ascii="Times New Roman" w:cs="Traditional Arabic" w:hAnsi="Times New Roman"/>
          <w:b/>
          <w:bCs/>
          <w:sz w:val="36"/>
          <w:szCs w:val="36"/>
          <w:rtl/>
        </w:rPr>
        <w:t xml:space="preserve">دراسة في موضوعاتها وأدواتها الفنّيّة في ضوء أدب التّرسّل العبّاسيّ</w:t>
      </w:r>
    </w:p>
    <w:p>
      <w:pPr>
        <w:bidi/>
        <w:spacing w:after="120" w:before="0" w:line="360"/>
        <w:jc w:val="center"/>
      </w:pPr>
      <w:r>
        <w:rPr>
          <w:rFonts w:ascii="Times New Roman" w:cs="Traditional Arabic" w:hAnsi="Times New Roman"/>
          <w:b w:val="false"/>
          <w:sz w:val="32"/>
          <w:szCs w:val="32"/>
          <w:rtl/>
        </w:rPr>
        <w:t xml:space="preserve"> </w:t>
      </w:r>
    </w:p>
    <w:p>
      <w:pPr>
        <w:bidi/>
        <w:spacing w:after="120" w:before="0" w:line="360"/>
        <w:jc w:val="center"/>
      </w:pPr>
      <w:r>
        <w:rPr>
          <w:rFonts w:ascii="Times New Roman" w:cs="Traditional Arabic" w:hAnsi="Times New Roman"/>
          <w:b w:val="false"/>
          <w:sz w:val="32"/>
          <w:szCs w:val="32"/>
          <w:rtl/>
        </w:rPr>
        <w:t xml:space="preserve"> </w:t>
      </w:r>
    </w:p>
    <w:p>
      <w:pPr>
        <w:bidi/>
        <w:spacing w:after="120" w:before="480" w:line="360"/>
        <w:jc w:val="center"/>
      </w:pPr>
      <w:r>
        <w:rPr>
          <w:rFonts w:ascii="Times New Roman" w:cs="Traditional Arabic" w:hAnsi="Times New Roman"/>
          <w:b w:val="false"/>
          <w:sz w:val="32"/>
          <w:szCs w:val="32"/>
          <w:rtl/>
        </w:rPr>
        <w:t xml:space="preserve">اسم المساق: الحلقة الدّراسيّة في الأدب العربيّ</w:t>
      </w:r>
    </w:p>
    <w:p>
      <w:pPr>
        <w:bidi/>
        <w:spacing w:after="120" w:before="0" w:line="360"/>
        <w:jc w:val="center"/>
      </w:pPr>
      <w:r>
        <w:rPr>
          <w:rFonts w:ascii="Times New Roman" w:cs="Traditional Arabic" w:hAnsi="Times New Roman"/>
          <w:b w:val="false"/>
          <w:sz w:val="32"/>
          <w:szCs w:val="32"/>
          <w:rtl/>
        </w:rPr>
        <w:t xml:space="preserve">بإرشاد: د. سمير كتّاني</w:t>
      </w:r>
    </w:p>
    <w:p>
      <w:pPr>
        <w:bidi/>
        <w:spacing w:after="120" w:before="0" w:line="360"/>
        <w:jc w:val="center"/>
      </w:pPr>
      <w:r>
        <w:rPr>
          <w:rFonts w:ascii="Times New Roman" w:cs="Traditional Arabic" w:hAnsi="Times New Roman"/>
          <w:b w:val="false"/>
          <w:sz w:val="32"/>
          <w:szCs w:val="32"/>
          <w:rtl/>
        </w:rPr>
        <w:t xml:space="preserve">اسم الطّالب/ة: ________________</w:t>
      </w:r>
    </w:p>
    <w:p>
      <w:pPr>
        <w:bidi/>
        <w:spacing w:after="120" w:before="0" w:line="360"/>
        <w:jc w:val="center"/>
      </w:pPr>
      <w:r>
        <w:rPr>
          <w:rFonts w:ascii="Times New Roman" w:cs="Traditional Arabic" w:hAnsi="Times New Roman"/>
          <w:b w:val="false"/>
          <w:sz w:val="32"/>
          <w:szCs w:val="32"/>
          <w:rtl/>
        </w:rPr>
        <w:t xml:space="preserve">رقم الهويّة: ________________</w:t>
      </w:r>
    </w:p>
    <w:p>
      <w:pPr>
        <w:bidi/>
        <w:spacing w:after="120" w:before="0" w:line="360"/>
        <w:jc w:val="center"/>
      </w:pPr>
      <w:r>
        <w:rPr>
          <w:rFonts w:ascii="Times New Roman" w:cs="Traditional Arabic" w:hAnsi="Times New Roman"/>
          <w:b w:val="false"/>
          <w:sz w:val="32"/>
          <w:szCs w:val="32"/>
          <w:rtl/>
        </w:rPr>
        <w:t xml:space="preserve">تاريخ تقديم الاقتراح: آب/أغسطس 2026</w:t>
      </w:r>
    </w:p>
    <w:p>
      <w:r>
        <w:br w:type="page"/>
      </w:r>
    </w:p>
    <w:p>
      <w:pPr>
        <w:bidi/>
        <w:spacing w:after="120" w:before="240" w:line="360"/>
        <w:jc w:val="right"/>
      </w:pPr>
      <w:r>
        <w:rPr>
          <w:rFonts w:ascii="Times New Roman" w:cs="Traditional Arabic" w:hAnsi="Times New Roman"/>
          <w:b/>
          <w:bCs/>
          <w:sz w:val="36"/>
          <w:szCs w:val="36"/>
          <w:rtl/>
        </w:rPr>
        <w:t xml:space="preserve">1. الفكرة من وراء البحث</w:t>
      </w:r>
    </w:p>
    <w:p>
      <w:pPr>
        <w:bidi/>
        <w:spacing w:after="120" w:before="0" w:line="360"/>
        <w:jc w:val="both"/>
      </w:pPr>
      <w:r>
        <w:rPr>
          <w:rFonts w:ascii="Times New Roman" w:cs="Traditional Arabic" w:hAnsi="Times New Roman"/>
          <w:b w:val="false"/>
          <w:sz w:val="32"/>
          <w:szCs w:val="32"/>
          <w:rtl/>
        </w:rPr>
        <w:t xml:space="preserve">تُعدّ رسالة الغفران من أنضج نصوص النّثر العربيّ في العصر العبّاسيّ، وقد كتبها أبو العلاء المعرّيّ ردًّا على رسالة بعث بها إليه الأديب الحلبيّ ابن القارح. غير أنّ المعرّيّ لم يكتفِ بالرّدّ المألوف في تقاليد التّرسّل، بل بنى على هذا القالب رحلةً خياليّةً إلى العالم الآخر، يجول فيها ابن القارح بين الجنّة والنّار، ويحاور الشّعراء والرّواة واللّغويّين في دقائق اللّغة والعروض والأخبار. وما يستوقف الدّارس في هذا النّصّ أنّ السّخرية ليست فيه زينةً عابرةً أو نادرةً مبثوثةً هنا وهناك، بل تكاد تكون العمود الفقريّ الّذي ينتظم الرّحلة كلّها: في اختيار الشّخوص، وفي المواقف الّتي توضع فيها، وفي المفارقة بين جلال الآخرة وصغائر المسائل الّتي ينشغل بها أهلها.</w:t>
      </w:r>
    </w:p>
    <w:p>
      <w:pPr>
        <w:bidi/>
        <w:spacing w:after="120" w:before="0" w:line="360"/>
        <w:jc w:val="both"/>
      </w:pPr>
      <w:r>
        <w:rPr>
          <w:rFonts w:ascii="Times New Roman" w:cs="Traditional Arabic" w:hAnsi="Times New Roman"/>
          <w:b w:val="false"/>
          <w:sz w:val="32"/>
          <w:szCs w:val="32"/>
          <w:rtl/>
        </w:rPr>
        <w:t xml:space="preserve">وقد انشغل كثير من الدّارسين بالرّسالة بوصفها رحلةً أخرويّةً أو مصدرًا محتملًا من مصادر الكوميديا الإلهيّة لدانتي، في حين بقيت السّخرية نفسها، بوصفها ظاهرةً فنّيّةً لها موضوعاتها وأدواتها ووظائفها، في حاجة إلى وقفة مستقلّة. من هنا تنبع أهمّيّة هذا البحث بالنّسبة إلى الباحث وإلى قارئ الأدب العبّاسيّ عمومًا. أمّا اختيار الموضوع فيعود إلى إعجاب شخصيّ بشخصيّة المعرّيّ وجرأته الفكريّة، وإلى رغبة في فهم كيف يتحوّل قالب رسميّ كالرّسالة الأدبيّة إلى فضاء للهزل الجادّ والنّقد المقنّع.</w:t>
      </w:r>
    </w:p>
    <w:p>
      <w:pPr>
        <w:bidi/>
        <w:spacing w:after="120" w:before="240" w:line="360"/>
        <w:jc w:val="right"/>
      </w:pPr>
      <w:r>
        <w:rPr>
          <w:rFonts w:ascii="Times New Roman" w:cs="Traditional Arabic" w:hAnsi="Times New Roman"/>
          <w:b/>
          <w:bCs/>
          <w:sz w:val="36"/>
          <w:szCs w:val="36"/>
          <w:rtl/>
        </w:rPr>
        <w:t xml:space="preserve">2. قضيّة البحث المركزيّة</w:t>
      </w:r>
    </w:p>
    <w:p>
      <w:pPr>
        <w:bidi/>
        <w:spacing w:after="120" w:before="0" w:line="360"/>
        <w:jc w:val="both"/>
      </w:pPr>
      <w:r>
        <w:rPr>
          <w:rFonts w:ascii="Times New Roman" w:cs="Traditional Arabic" w:hAnsi="Times New Roman"/>
          <w:b w:val="false"/>
          <w:sz w:val="32"/>
          <w:szCs w:val="32"/>
          <w:rtl/>
        </w:rPr>
        <w:t xml:space="preserve">ينطلق البحث من قضيّة مفادها أنّ السّخرية في رسالة الغفران ليست عنصرًا زخرفيًّا، بل بنية ناظمة تكشف موقف المعرّيّ من أعلام التّراث الأدبيّ واللّغويّ، ومن ابن القارح المرسَل إليه، ومن تصوّرات أهل عصره الجاهزة عن الثّواب والعقاب. وعليه، فإنّ رصد مظاهر هذه السّخرية وتحليل أدواتها هو مدخل ضروريّ إلى فهم الرّسالة كلّها، وإلى فهم صاحبها.</w:t>
      </w:r>
    </w:p>
    <w:p>
      <w:pPr>
        <w:bidi/>
        <w:spacing w:after="120" w:before="240" w:line="360"/>
        <w:jc w:val="right"/>
      </w:pPr>
      <w:r>
        <w:rPr>
          <w:rFonts w:ascii="Times New Roman" w:cs="Traditional Arabic" w:hAnsi="Times New Roman"/>
          <w:b/>
          <w:bCs/>
          <w:sz w:val="36"/>
          <w:szCs w:val="36"/>
          <w:rtl/>
        </w:rPr>
        <w:t xml:space="preserve">3. سؤال البحث</w:t>
      </w:r>
    </w:p>
    <w:p>
      <w:pPr>
        <w:bidi/>
        <w:spacing w:after="120" w:before="0" w:line="360"/>
        <w:jc w:val="both"/>
      </w:pPr>
      <w:r>
        <w:rPr>
          <w:rFonts w:ascii="Times New Roman" w:cs="Traditional Arabic" w:hAnsi="Times New Roman"/>
          <w:b w:val="false"/>
          <w:sz w:val="32"/>
          <w:szCs w:val="32"/>
          <w:rtl/>
        </w:rPr>
        <w:t xml:space="preserve">ما مظاهر السّخرية في رسالة الغفران لأبي العلاء المعرّيّ، وبأيّ أدوات فنّيّة تحقّقت، وما الوظائف الّتي تؤدّيها في النّصّ؟</w:t>
      </w:r>
    </w:p>
    <w:p>
      <w:pPr>
        <w:bidi/>
        <w:spacing w:after="120" w:before="0" w:line="360"/>
        <w:jc w:val="both"/>
      </w:pPr>
      <w:r>
        <w:rPr>
          <w:rFonts w:ascii="Times New Roman" w:cs="Traditional Arabic" w:hAnsi="Times New Roman"/>
          <w:b w:val="false"/>
          <w:sz w:val="32"/>
          <w:szCs w:val="32"/>
          <w:rtl/>
        </w:rPr>
        <w:t xml:space="preserve">وينبثق عن هذا السّؤال المركزيّ أسئلة فرعيّة:</w:t>
      </w:r>
    </w:p>
    <w:p>
      <w:pPr>
        <w:pStyle w:val="ListParagraph"/>
        <w:numPr>
          <w:ilvl w:val="0"/>
          <w:numId w:val="2"/>
        </w:numPr>
        <w:bidi/>
        <w:spacing w:after="120" w:before="0" w:line="360"/>
        <w:jc w:val="both"/>
      </w:pPr>
      <w:r>
        <w:rPr>
          <w:rFonts w:ascii="Times New Roman" w:cs="Traditional Arabic" w:hAnsi="Times New Roman"/>
          <w:b w:val="false"/>
          <w:sz w:val="32"/>
          <w:szCs w:val="32"/>
          <w:rtl/>
        </w:rPr>
        <w:t xml:space="preserve">كيف وظّف المعرّيّ قالب التّرسّل، وهو قالب رسميّ له أعرافه، في بناء نصّ ساخر؟</w:t>
      </w:r>
    </w:p>
    <w:p>
      <w:pPr>
        <w:pStyle w:val="ListParagraph"/>
        <w:numPr>
          <w:ilvl w:val="0"/>
          <w:numId w:val="2"/>
        </w:numPr>
        <w:bidi/>
        <w:spacing w:after="120" w:before="0" w:line="360"/>
        <w:jc w:val="both"/>
      </w:pPr>
      <w:r>
        <w:rPr>
          <w:rFonts w:ascii="Times New Roman" w:cs="Traditional Arabic" w:hAnsi="Times New Roman"/>
          <w:b w:val="false"/>
          <w:sz w:val="32"/>
          <w:szCs w:val="32"/>
          <w:rtl/>
        </w:rPr>
        <w:t xml:space="preserve">ممّن يسخر المعرّيّ وممّ يسخر: من الأشخاص أم من الأفكار أم من الأعراف الأدبيّة واللّغويّة؟</w:t>
      </w:r>
    </w:p>
    <w:p>
      <w:pPr>
        <w:pStyle w:val="ListParagraph"/>
        <w:numPr>
          <w:ilvl w:val="0"/>
          <w:numId w:val="2"/>
        </w:numPr>
        <w:bidi/>
        <w:spacing w:after="120" w:before="0" w:line="360"/>
        <w:jc w:val="both"/>
      </w:pPr>
      <w:r>
        <w:rPr>
          <w:rFonts w:ascii="Times New Roman" w:cs="Traditional Arabic" w:hAnsi="Times New Roman"/>
          <w:b w:val="false"/>
          <w:sz w:val="32"/>
          <w:szCs w:val="32"/>
          <w:rtl/>
        </w:rPr>
        <w:t xml:space="preserve">ما الأدوات الفنّيّة الّتي صنعت السّخرية في الرّسالة، كالمفارقة والتّهكّم والمحاكاة السّاخرة والمبالغة والحوار؟</w:t>
      </w:r>
    </w:p>
    <w:p>
      <w:pPr>
        <w:pStyle w:val="ListParagraph"/>
        <w:numPr>
          <w:ilvl w:val="0"/>
          <w:numId w:val="2"/>
        </w:numPr>
        <w:bidi/>
        <w:spacing w:after="120" w:before="0" w:line="360"/>
        <w:jc w:val="both"/>
      </w:pPr>
      <w:r>
        <w:rPr>
          <w:rFonts w:ascii="Times New Roman" w:cs="Traditional Arabic" w:hAnsi="Times New Roman"/>
          <w:b w:val="false"/>
          <w:sz w:val="32"/>
          <w:szCs w:val="32"/>
          <w:rtl/>
        </w:rPr>
        <w:t xml:space="preserve">ما موقف الكاتب ممّا يسخر منه، وأين تقع الحدود عنده بين الجدّ والهزل؟</w:t>
      </w:r>
    </w:p>
    <w:p>
      <w:pPr>
        <w:bidi/>
        <w:spacing w:after="120" w:before="240" w:line="360"/>
        <w:jc w:val="right"/>
      </w:pPr>
      <w:r>
        <w:rPr>
          <w:rFonts w:ascii="Times New Roman" w:cs="Traditional Arabic" w:hAnsi="Times New Roman"/>
          <w:b/>
          <w:bCs/>
          <w:sz w:val="36"/>
          <w:szCs w:val="36"/>
          <w:rtl/>
        </w:rPr>
        <w:t xml:space="preserve">4. فصول البحث وأقسامه الأساسيّة</w:t>
      </w:r>
    </w:p>
    <w:p>
      <w:pPr>
        <w:bidi/>
        <w:spacing w:after="120" w:before="0" w:line="360"/>
        <w:jc w:val="both"/>
      </w:pPr>
      <w:r>
        <w:rPr>
          <w:rFonts w:ascii="Times New Roman" w:cs="Traditional Arabic" w:hAnsi="Times New Roman"/>
          <w:b w:val="false"/>
          <w:sz w:val="32"/>
          <w:szCs w:val="32"/>
          <w:rtl/>
        </w:rPr>
        <w:t xml:space="preserve">المقدّمة: عرض قضيّة البحث وسؤاله ومنهجه ومصادره.</w:t>
      </w:r>
    </w:p>
    <w:p>
      <w:pPr>
        <w:bidi/>
        <w:spacing w:after="120" w:before="0" w:line="360"/>
        <w:jc w:val="both"/>
      </w:pPr>
      <w:r>
        <w:rPr>
          <w:rFonts w:ascii="Times New Roman" w:cs="Traditional Arabic" w:hAnsi="Times New Roman"/>
          <w:b w:val="false"/>
          <w:sz w:val="32"/>
          <w:szCs w:val="32"/>
          <w:rtl/>
        </w:rPr>
        <w:t xml:space="preserve">الفصل الأوّل، أدب التّرسّل: أنواعه وأشكاله: مفهوم التّرسّل ونشأته، الرّسائل الدّيوانيّة والإخوانيّة والأدبيّة، مكانة فنّ التّرسّل في النّثر العبّاسيّ، ثمّ الرّسالة الأدبيّة بوصفها قالبًا يتّسع للسّرد الخياليّ والمناظرة، وهو الباب الّذي دخلت منه رسالة الغفران.</w:t>
      </w:r>
    </w:p>
    <w:p>
      <w:pPr>
        <w:bidi/>
        <w:spacing w:after="120" w:before="0" w:line="360"/>
        <w:jc w:val="both"/>
      </w:pPr>
      <w:r>
        <w:rPr>
          <w:rFonts w:ascii="Times New Roman" w:cs="Traditional Arabic" w:hAnsi="Times New Roman"/>
          <w:b w:val="false"/>
          <w:sz w:val="32"/>
          <w:szCs w:val="32"/>
          <w:rtl/>
        </w:rPr>
        <w:t xml:space="preserve">الفصل الثّاني، أبو العلاء المعرّيّ: حياته وآثاره: سيرته من المعرّة إلى بغداد ثمّ العودة والعزلة، محنة العمى وأثرها في تكوينه، ثقافته اللّغويّة الواسعة ومذهبه في الزّهد والتّشاؤم، ثمّ أبرز آثاره: سقط الزّند واللّزوميّات والفصول والغايات ورسالة الغفران، مع وقفة عند ظروف تأليف الرّسالة والرّدّ على ابن القارح.</w:t>
      </w:r>
    </w:p>
    <w:p>
      <w:pPr>
        <w:bidi/>
        <w:spacing w:after="120" w:before="0" w:line="360"/>
        <w:jc w:val="both"/>
      </w:pPr>
      <w:r>
        <w:rPr>
          <w:rFonts w:ascii="Times New Roman" w:cs="Traditional Arabic" w:hAnsi="Times New Roman"/>
          <w:b w:val="false"/>
          <w:sz w:val="32"/>
          <w:szCs w:val="32"/>
          <w:rtl/>
        </w:rPr>
        <w:t xml:space="preserve">الفصل الثّالث، مظاهر السّخرية في رسالة الغفران: وهو الفصل التّطبيقيّ، ويعالج مفهوم السّخرية ودوافعها عند المعرّيّ، وموضوعاتها في الرّسالة: السّخرية من الشّعراء والرّواة واللّغويّين ومن مقاييس النّقد والرّواية، والسّخرية من ابن القارح نفسه، والسّخرية المقنّعة من التّصوّرات الشّائعة عن النّعيم والعذاب. ثمّ يحلّل الأدوات الفنّيّة الّتي تحقّقت بها، ويختم ببيان موقف الكاتب ممّا يسخر منه.</w:t>
      </w:r>
    </w:p>
    <w:p>
      <w:pPr>
        <w:bidi/>
        <w:spacing w:after="120" w:before="0" w:line="360"/>
        <w:jc w:val="both"/>
      </w:pPr>
      <w:r>
        <w:rPr>
          <w:rFonts w:ascii="Times New Roman" w:cs="Traditional Arabic" w:hAnsi="Times New Roman"/>
          <w:b w:val="false"/>
          <w:sz w:val="32"/>
          <w:szCs w:val="32"/>
          <w:rtl/>
        </w:rPr>
        <w:t xml:space="preserve">الخاتمة: خلاصة النّتائج والإجابة عن سؤال البحث.</w:t>
      </w:r>
    </w:p>
    <w:p>
      <w:r>
        <w:br w:type="page"/>
      </w:r>
    </w:p>
    <w:p>
      <w:pPr>
        <w:bidi/>
        <w:spacing w:after="120" w:before="240" w:line="360"/>
        <w:jc w:val="right"/>
      </w:pPr>
      <w:r>
        <w:rPr>
          <w:rFonts w:ascii="Times New Roman" w:cs="Traditional Arabic" w:hAnsi="Times New Roman"/>
          <w:b/>
          <w:bCs/>
          <w:sz w:val="36"/>
          <w:szCs w:val="36"/>
          <w:rtl/>
        </w:rPr>
        <w:t xml:space="preserve">5. قائمة المراجع الأوّليّة</w:t>
      </w:r>
    </w:p>
    <w:p>
      <w:pPr>
        <w:bidi/>
        <w:spacing w:after="120" w:before="0" w:line="360"/>
        <w:jc w:val="both"/>
      </w:pPr>
      <w:r>
        <w:rPr>
          <w:rFonts w:ascii="Times New Roman" w:cs="Traditional Arabic" w:hAnsi="Times New Roman"/>
          <w:b w:val="false"/>
          <w:sz w:val="32"/>
          <w:szCs w:val="32"/>
          <w:rtl/>
        </w:rPr>
        <w:t xml:space="preserve">أبو رحمة، عماد محمود: "أثر رسالة الغفران لأبي العلاء المعرّيّ في الكوميديا الإلهيّة لدانتي: دراسة نصّيّة مقارنة"، مجلّة الجامعة الإسلاميّة للبحوث الإنسانيّة، المجلّد 23، العدد 2، الجامعة الإسلاميّة، غزّة، 2015.</w:t>
      </w:r>
    </w:p>
    <w:p>
      <w:pPr>
        <w:bidi/>
        <w:spacing w:after="120" w:before="0" w:line="360"/>
        <w:jc w:val="both"/>
      </w:pPr>
      <w:r>
        <w:rPr>
          <w:rFonts w:ascii="Times New Roman" w:cs="Traditional Arabic" w:hAnsi="Times New Roman"/>
          <w:b w:val="false"/>
          <w:sz w:val="32"/>
          <w:szCs w:val="32"/>
          <w:rtl/>
        </w:rPr>
        <w:t xml:space="preserve">توحيدي فر، نرجس: أبو العلاء المعرّيّ: دراسة في معتقداته الدّينيّة، دار صادر، بيروت، 2011.</w:t>
      </w:r>
    </w:p>
    <w:p>
      <w:pPr>
        <w:bidi/>
        <w:spacing w:after="120" w:before="0" w:line="360"/>
        <w:jc w:val="both"/>
      </w:pPr>
      <w:r>
        <w:rPr>
          <w:rFonts w:ascii="Times New Roman" w:cs="Traditional Arabic" w:hAnsi="Times New Roman"/>
          <w:b w:val="false"/>
          <w:sz w:val="32"/>
          <w:szCs w:val="32"/>
          <w:rtl/>
        </w:rPr>
        <w:t xml:space="preserve">حسين، طه: تجديد ذكرى أبي العلاء، مؤسّسة هنداوي للتّعليم والثّقافة، القاهرة، 2013.</w:t>
      </w:r>
    </w:p>
    <w:p>
      <w:pPr>
        <w:bidi/>
        <w:spacing w:after="120" w:before="0" w:line="360"/>
        <w:jc w:val="both"/>
      </w:pPr>
      <w:r>
        <w:rPr>
          <w:rFonts w:ascii="Times New Roman" w:cs="Traditional Arabic" w:hAnsi="Times New Roman"/>
          <w:b w:val="false"/>
          <w:sz w:val="32"/>
          <w:szCs w:val="32"/>
          <w:rtl/>
        </w:rPr>
        <w:t xml:space="preserve">حسين، طه: مع أبي العلاء في سجنه، دار المعارف، القاهرة، 1939.</w:t>
      </w:r>
    </w:p>
    <w:p>
      <w:pPr>
        <w:bidi/>
        <w:spacing w:after="120" w:before="0" w:line="360"/>
        <w:jc w:val="both"/>
      </w:pPr>
      <w:r>
        <w:rPr>
          <w:rFonts w:ascii="Times New Roman" w:cs="Traditional Arabic" w:hAnsi="Times New Roman"/>
          <w:b w:val="false"/>
          <w:sz w:val="32"/>
          <w:szCs w:val="32"/>
          <w:rtl/>
        </w:rPr>
        <w:t xml:space="preserve">ضيف، شوقي: الفنّ ومذاهبه في النّثر العربيّ، ط 13، دار المعارف، القاهرة، (د. ت).</w:t>
      </w:r>
    </w:p>
    <w:p>
      <w:pPr>
        <w:bidi/>
        <w:spacing w:after="120" w:before="0" w:line="360"/>
        <w:jc w:val="both"/>
      </w:pPr>
      <w:r>
        <w:rPr>
          <w:rFonts w:ascii="Times New Roman" w:cs="Traditional Arabic" w:hAnsi="Times New Roman"/>
          <w:b w:val="false"/>
          <w:sz w:val="32"/>
          <w:szCs w:val="32"/>
          <w:rtl/>
        </w:rPr>
        <w:t xml:space="preserve">طه، نعمان محمّد أمين: السّخرية في الأدب العربيّ حتّى نهاية القرن الرّابع الهجريّ، دار التّوفيقيّة، القاهرة، 1979.</w:t>
      </w:r>
    </w:p>
    <w:p>
      <w:pPr>
        <w:bidi/>
        <w:spacing w:after="120" w:before="0" w:line="360"/>
        <w:jc w:val="both"/>
      </w:pPr>
      <w:r>
        <w:rPr>
          <w:rFonts w:ascii="Times New Roman" w:cs="Traditional Arabic" w:hAnsi="Times New Roman"/>
          <w:b w:val="false"/>
          <w:sz w:val="32"/>
          <w:szCs w:val="32"/>
          <w:rtl/>
        </w:rPr>
        <w:t xml:space="preserve">العقّاد، عبّاس محمود: مطالعات في الكتب والحياة، مؤسّسة هنداوي للتّعليم والثّقافة، القاهرة، 2013. (وفيه فصل "السّخر في رسالة الغفران").</w:t>
      </w:r>
    </w:p>
    <w:p>
      <w:pPr>
        <w:bidi/>
        <w:spacing w:after="120" w:before="0" w:line="360"/>
        <w:jc w:val="both"/>
      </w:pPr>
      <w:r>
        <w:rPr>
          <w:rFonts w:ascii="Times New Roman" w:cs="Traditional Arabic" w:hAnsi="Times New Roman"/>
          <w:b w:val="false"/>
          <w:sz w:val="32"/>
          <w:szCs w:val="32"/>
          <w:rtl/>
        </w:rPr>
        <w:t xml:space="preserve">"فلسفة السّخرية في رسالة الغفران لأبي العلاء المعرّيّ"، مجلّة الحكمة للدّراسات الفلسفيّة، المجلّد 10، العدد 3، الجزائر، 2022.</w:t>
      </w:r>
    </w:p>
    <w:p>
      <w:pPr>
        <w:bidi/>
        <w:spacing w:after="120" w:before="0" w:line="360"/>
        <w:jc w:val="both"/>
      </w:pPr>
      <w:r>
        <w:rPr>
          <w:rFonts w:ascii="Times New Roman" w:cs="Traditional Arabic" w:hAnsi="Times New Roman"/>
          <w:b w:val="false"/>
          <w:sz w:val="32"/>
          <w:szCs w:val="32"/>
          <w:rtl/>
        </w:rPr>
        <w:t xml:space="preserve">كتّاني، سمير: "الأدب كإطار للمعارف في الموروث العربيّ الكلاسيكيّ: مفاهيمه، طبيعته ومضامينه"، المجمع، العدد 1، 2009، ص 1-26.</w:t>
      </w:r>
    </w:p>
    <w:p>
      <w:pPr>
        <w:bidi/>
        <w:spacing w:after="120" w:before="0" w:line="360"/>
        <w:jc w:val="both"/>
      </w:pPr>
      <w:r>
        <w:rPr>
          <w:rFonts w:ascii="Times New Roman" w:cs="Traditional Arabic" w:hAnsi="Times New Roman"/>
          <w:b w:val="false"/>
          <w:sz w:val="32"/>
          <w:szCs w:val="32"/>
          <w:rtl/>
        </w:rPr>
        <w:t xml:space="preserve">مبارك، زكي: النّثر الفنّيّ في القرن الرّابع، مؤسّسة هنداوي للتّعليم والثّقافة، القاهرة، 2013.</w:t>
      </w:r>
    </w:p>
    <w:p>
      <w:pPr>
        <w:bidi/>
        <w:spacing w:after="120" w:before="0" w:line="360"/>
        <w:jc w:val="both"/>
      </w:pPr>
      <w:r>
        <w:rPr>
          <w:rFonts w:ascii="Times New Roman" w:cs="Traditional Arabic" w:hAnsi="Times New Roman"/>
          <w:b w:val="false"/>
          <w:sz w:val="32"/>
          <w:szCs w:val="32"/>
          <w:rtl/>
        </w:rPr>
        <w:t xml:space="preserve">المعرّيّ، أبو العلاء: رسالة الغفران، تحقيق عائشة عبد الرّحمن (بنت الشّاطئ)، دار المعارف، القاهرة، 1963.</w:t>
      </w:r>
    </w:p>
    <w:p>
      <w:pPr>
        <w:bidi/>
        <w:spacing w:after="120" w:before="0" w:line="360"/>
        <w:jc w:val="both"/>
      </w:pPr>
      <w:r>
        <w:rPr>
          <w:rFonts w:ascii="Times New Roman" w:cs="Traditional Arabic" w:hAnsi="Times New Roman"/>
          <w:b w:val="false"/>
          <w:sz w:val="32"/>
          <w:szCs w:val="32"/>
          <w:rtl/>
        </w:rPr>
        <w:t xml:space="preserve">المعرّيّ، أبو العلاء: مختارات من رسالة الغفران، اختيار وتقديم أحمد رجب شلتوت، أزهى العربيّة للإعلام والفنون والدّراسات الإنسانيّة والنّشر، الجيزة، 2025.</w:t>
      </w:r>
    </w:p>
    <w:p>
      <w:pPr>
        <w:spacing w:after="120" w:line="360"/>
        <w:jc w:val="left"/>
      </w:pPr>
      <w:r>
        <w:rPr>
          <w:rFonts w:ascii="Times New Roman" w:cs="Times New Roman" w:hAnsi="Times New Roman"/>
          <w:i w:val="false"/>
          <w:iCs w:val="false"/>
          <w:sz w:val="24"/>
          <w:szCs w:val="24"/>
        </w:rPr>
        <w:t xml:space="preserve">Al-Maʿarrī, Abū al-ʿAlāʾ: </w:t>
      </w:r>
      <w:r>
        <w:rPr>
          <w:rFonts w:ascii="Times New Roman" w:cs="Times New Roman" w:hAnsi="Times New Roman"/>
          <w:i/>
          <w:iCs/>
          <w:sz w:val="24"/>
          <w:szCs w:val="24"/>
        </w:rPr>
        <w:t xml:space="preserve">The Epistle of Forgiveness</w:t>
      </w:r>
      <w:r>
        <w:rPr>
          <w:rFonts w:ascii="Times New Roman" w:cs="Times New Roman" w:hAnsi="Times New Roman"/>
          <w:i w:val="false"/>
          <w:iCs w:val="false"/>
          <w:sz w:val="24"/>
          <w:szCs w:val="24"/>
        </w:rPr>
        <w:t xml:space="preserve">, edited and translated by Geert Jan van Gelder and Gregor Schoeler, New York University Press, New York, 2013.</w:t>
      </w:r>
    </w:p>
    <w:p>
      <w:pPr>
        <w:spacing w:after="120" w:line="360"/>
        <w:jc w:val="left"/>
      </w:pPr>
      <w:r>
        <w:rPr>
          <w:rFonts w:ascii="Times New Roman" w:cs="Times New Roman" w:hAnsi="Times New Roman"/>
          <w:i w:val="false"/>
          <w:iCs w:val="false"/>
          <w:sz w:val="24"/>
          <w:szCs w:val="24"/>
        </w:rPr>
        <w:t xml:space="preserve">Nicholson, Reynold A.: </w:t>
      </w:r>
      <w:r>
        <w:rPr>
          <w:rFonts w:ascii="Times New Roman" w:cs="Times New Roman" w:hAnsi="Times New Roman"/>
          <w:i/>
          <w:iCs/>
          <w:sz w:val="24"/>
          <w:szCs w:val="24"/>
        </w:rPr>
        <w:t xml:space="preserve">Studies in Islamic Poetry</w:t>
      </w:r>
      <w:r>
        <w:rPr>
          <w:rFonts w:ascii="Times New Roman" w:cs="Times New Roman" w:hAnsi="Times New Roman"/>
          <w:i w:val="false"/>
          <w:iCs w:val="false"/>
          <w:sz w:val="24"/>
          <w:szCs w:val="24"/>
        </w:rPr>
        <w:t xml:space="preserve">, Cambridge University Press, Cambridge, 1921.</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arabicAbjad"/>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2026-08-14T18:53:12.797Z</dcterms:created>
  <dcterms:modified xsi:type="dcterms:W3CDTF">2026-08-14T18:53:12.797Z</dcterms:modified>
</cp:coreProperties>
</file>

<file path=docProps/custom.xml><?xml version="1.0" encoding="utf-8"?>
<Properties xmlns="http://schemas.openxmlformats.org/officeDocument/2006/custom-properties" xmlns:vt="http://schemas.openxmlformats.org/officeDocument/2006/docPropsVTypes"/>
</file>