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40" w:line="360" w:lineRule="auto"/>
        <w:jc w:val="center"/>
      </w:pPr>
      <w:r>
        <w:rPr>
          <w:rFonts w:ascii="Times New Roman" w:cs="Traditional Arabic" w:hAnsi="Times New Roman"/>
          <w:b w:val="false"/>
          <w:sz w:val="32"/>
          <w:szCs w:val="32"/>
          <w:rtl/>
        </w:rPr>
        <w:t xml:space="preserve">الكلّيّة الأكاديميّة أونو</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ما مظاهر السّخرية في رسالة الغفران، وبأيّ أدوات فنّيّة تحقّقت، وما الوظائف الّتي تؤدّيها في النّصّ؟ وتتفرّع عنه أسئلة أخرى: كيف وظّف المعرّي قالب التّرسّل في بناء نصّ ساخر؟ وممّن يسخر وممّ يسخر؟ وما موقفه هو ممّا يسخر منه؟</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من الرّسالة بالدّرجة الأولى، لأنّه موضع القصّ والسّخرية، ولا يتوسّع في قسم الرّدّ على مسائل ابن القارح إلّا بمقدار ما يخدم السّؤال المركزيّ. كما لا يدّعي البحث الإحاطة بكلّ مشاهد الرّسالة، وهي كثيرة متشعّبة، بل يجتزئ منها نماذج دالّة تكفي لاستخلاص مظاهر السّخرية وأدواتها.</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صلّى الله عليه وسلّم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وقد وُضعت لتخريج الكتّاب مصنّفات خاصّة تجمع لهم ما يحتاجون إليه من لغة وأخبار وحساب وسياسة. ودلالة هذا لموضوعنا أنّ الرّسالة لم تكن شكلًا هامشيًّا، بل كانت في صميم الحياة العامّة، ولها من الرّسوم والتّقاليد المستقرّة ما يجعل الخروج عليها ملحوظًا؛ والسّخرية، كما هو معلوم،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4"/>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من غير شكّ،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5"/>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نثره متحفًا لغويًّا حقيقيًّا، حتّى إنّ شرّاح الغفران ما زالوا يقفون عند غريبه إلى اليوم.</w:t>
      </w:r>
    </w:p>
    <w:p>
      <w:pPr>
        <w:bidi/>
        <w:spacing w:after="120" w:before="0" w:line="360" w:lineRule="auto"/>
        <w:jc w:val="both"/>
      </w:pPr>
      <w:r>
        <w:rPr>
          <w:rFonts w:ascii="Times New Roman" w:cs="Traditional Arabic" w:hAnsi="Times New Roman"/>
          <w:b w:val="false"/>
          <w:sz w:val="32"/>
          <w:szCs w:val="32"/>
          <w:rtl/>
        </w:rPr>
        <w:t xml:space="preserve">على أنّ الملاحظ في الغفران أنّ الصّنعة اللّغويّة نفسها تدخل في لعبة السّخرية: فالمعرّي يسوق السّجع المتكلّف والغريب المتقعّر في مواضع الهزل، فيصير التّأنّق الأسلوبيّ ذاته موضع ابتسام، وكأنّه يسخر من صنعة عصره وهو يجاريها. وهذه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6"/>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7"/>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8"/>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فالغفران إذًا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9"/>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0"/>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1"/>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2"/>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3"/>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1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16"/>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17"/>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18"/>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1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0"/>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1"/>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2"/>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3"/>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4"/>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25"/>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2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27"/>
      </w:r>
      <w:r>
        <w:rPr>
          <w:rFonts w:ascii="Times New Roman" w:cs="Traditional Arabic" w:hAnsi="Times New Roman"/>
          <w:b w:val="false"/>
          <w:sz w:val="32"/>
          <w:szCs w:val="32"/>
          <w:rtl/>
        </w:rPr>
        <w:t xml:space="preserve">. فمن ناحية تكشف لنا الرّسالة كم أنّ المعرّي مؤمن يعيش إيمانه بكلّ جوارحه، يؤمن بوحدة الله ورسالة نبيّه، وكم أنّه في الوقت نفسه شكّاك لا يرى فائدة في الصّورة الّتي يصنعها المتكلّمون للدّين</w:t>
      </w:r>
      <w:r>
        <w:rPr>
          <w:rStyle w:val="FootnoteReference"/>
        </w:rPr>
        <w:footnoteReference w:id="28"/>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29"/>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0"/>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1"/>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2"/>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3"/>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4"/>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35"/>
      </w:r>
      <w:r>
        <w:rPr>
          <w:rFonts w:ascii="Times New Roman" w:cs="Traditional Arabic" w:hAnsi="Times New Roman"/>
          <w:b w:val="false"/>
          <w:sz w:val="32"/>
          <w:szCs w:val="32"/>
          <w:rtl/>
        </w:rPr>
        <w:t xml:space="preserve">، وعرّف نيكلسون القرّاء الأوروبّيّين بشعره وفكره منذ مطلع القرن العشرين</w:t>
      </w:r>
      <w:r>
        <w:rPr>
          <w:rStyle w:val="FootnoteReference"/>
        </w:rPr>
        <w:footnoteReference w:id="36"/>
      </w:r>
      <w:r>
        <w:rPr>
          <w:rFonts w:ascii="Times New Roman" w:cs="Traditional Arabic" w:hAnsi="Times New Roman"/>
          <w:b w:val="false"/>
          <w:sz w:val="32"/>
          <w:szCs w:val="32"/>
          <w:rtl/>
        </w:rPr>
        <w:t xml:space="preserve">. وتكفي هذه الإطلالة لبيان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37"/>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38"/>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39"/>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0"/>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1"/>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2"/>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رضي الله عنها،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3"/>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4"/>
      </w:r>
      <w:r>
        <w:rPr>
          <w:rFonts w:ascii="Times New Roman" w:cs="Traditional Arabic" w:hAnsi="Times New Roman"/>
          <w:b w:val="false"/>
          <w:sz w:val="32"/>
          <w:szCs w:val="32"/>
          <w:rtl/>
        </w:rPr>
        <w:t xml:space="preserve">. إنّ فكرة الأديب المحترف الّذي يظنّ أنّ المديح عملة تشترى بها المنافع حتّى في الآخرة هي جوهر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5"/>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وهذا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زهير بن أبي سلمى غُفر له ببيت قاله في الدّنيا يذكر فيه أنّ الله يعلم ما تخفيه النّفوس، والأعشى نجا بمدحه النّبيّ صلّى الله عليه وسلّم وإن مات قبل أن يسلم.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4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عليه السّلام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47"/>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48"/>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4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0"/>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وفي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1"/>
      </w:r>
      <w:r>
        <w:rPr>
          <w:rFonts w:ascii="Times New Roman" w:cs="Traditional Arabic" w:hAnsi="Times New Roman"/>
          <w:b w:val="false"/>
          <w:sz w:val="32"/>
          <w:szCs w:val="32"/>
          <w:rtl/>
        </w:rPr>
        <w:t xml:space="preserve">. فالسّخرية عنده ليست موقف المتعالي الّذي يضحك من النّاس وحدهم، بل موقف العارف الّذي يدرك أنّه واحد منهم، وأنّ عماه وعزلته لا يخرجانه من جملة البشر الّذين يضحك منهم. وهذا ما يعطي سخرية الغفران عمقها الإنسانيّ ويرفعها عن الشّماتة.</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2"/>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فقد مرّ في الفصل الأوّل أنّ المعرّي يسوق السّجع المتكلّف والغريب المتقعّر في مواضع الهزل، فيتحوّل التّأنّق الأسلوبيّ الّذي كان مفخرة كتّاب عصره إلى مادّة للابتسام. وفي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3"/>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4"/>
      </w:r>
      <w:r>
        <w:rPr>
          <w:rFonts w:ascii="Times New Roman" w:cs="Traditional Arabic" w:hAnsi="Times New Roman"/>
          <w:b w:val="false"/>
          <w:sz w:val="32"/>
          <w:szCs w:val="32"/>
          <w:rtl/>
        </w:rPr>
        <w:t xml:space="preserve">. وهذا الوصف دقيق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كانت السّخرية عند رهين المحبسين حرّيّته الوحيدة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55"/>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56"/>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57"/>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58"/>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فالعنصر الّذي يميّز رحلة الغفران من رحلة دانتي هو بالضّبط الضّحك. رحلة دانتي جادّة مهيبة من أوّلها إلى آخرها، ورحلة ابن القارح تسير على حدّ المفارقة الهازلة. وهذا الفارق هو أوضح دليل على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pStyle w:val="Heading2"/>
        <w:bidi/>
        <w:spacing w:after="120" w:before="240" w:line="360" w:lineRule="auto"/>
        <w:jc w:val="right"/>
      </w:pPr>
      <w:r>
        <w:rPr>
          <w:rFonts w:ascii="Times New Roman" w:cs="Traditional Arabic" w:hAnsi="Times New Roman"/>
          <w:b/>
          <w:bCs/>
          <w:sz w:val="36"/>
          <w:szCs w:val="36"/>
          <w:rtl/>
        </w:rPr>
        <w:t xml:space="preserve">المراجع العربيّة</w:t>
      </w:r>
    </w:p>
    <w:p>
      <w:pPr>
        <w:bidi/>
        <w:spacing w:after="120" w:before="0" w:line="360" w:lineRule="auto"/>
        <w:jc w:val="both"/>
      </w:pPr>
      <w:r>
        <w:rPr>
          <w:rFonts w:ascii="Times New Roman" w:cs="Traditional Arabic" w:hAnsi="Times New Roman"/>
          <w:b w:val="false"/>
          <w:sz w:val="32"/>
          <w:szCs w:val="32"/>
          <w:rtl/>
        </w:rPr>
        <w:t xml:space="preserve">أبو رحمة، عماد محمود: "أثر رسالة الغفران لأبي العلاء المعرّي في الكوميديا الإلهيّة لدانتي: دراسة نصّيّة مقارنة"، مجلّة الجامعة الإسلاميّة للبحوث الإنسانيّة، المجلّد 23، العدد 2، الجامعة الإسلاميّة، غزّة، 2015.</w:t>
      </w:r>
    </w:p>
    <w:p>
      <w:pPr>
        <w:bidi/>
        <w:spacing w:after="120" w:before="0" w:line="360" w:lineRule="auto"/>
        <w:jc w:val="both"/>
      </w:pPr>
      <w:r>
        <w:rPr>
          <w:rFonts w:ascii="Times New Roman" w:cs="Traditional Arabic" w:hAnsi="Times New Roman"/>
          <w:b w:val="false"/>
          <w:sz w:val="32"/>
          <w:szCs w:val="32"/>
          <w:rtl/>
        </w:rPr>
        <w:t xml:space="preserve">توحيدي فر، نرجس: أبو العلاء المعرّي: دراسة في معتقداته الدّينيّة، دار صادر، بيروت، 2011.</w:t>
      </w:r>
    </w:p>
    <w:p>
      <w:pPr>
        <w:bidi/>
        <w:spacing w:after="120" w:before="0" w:line="360" w:lineRule="auto"/>
        <w:jc w:val="both"/>
      </w:pPr>
      <w:r>
        <w:rPr>
          <w:rFonts w:ascii="Times New Roman" w:cs="Traditional Arabic" w:hAnsi="Times New Roman"/>
          <w:b w:val="false"/>
          <w:sz w:val="32"/>
          <w:szCs w:val="32"/>
          <w:rtl/>
        </w:rPr>
        <w:t xml:space="preserve">حسين، طه: تجديد ذكرى أبي العلاء، مؤسّسة هنداوي للتّعليم والثّقافة، القاهرة، 2013.</w:t>
      </w:r>
    </w:p>
    <w:p>
      <w:pPr>
        <w:bidi/>
        <w:spacing w:after="120" w:before="0" w:line="360" w:lineRule="auto"/>
        <w:jc w:val="both"/>
      </w:pPr>
      <w:r>
        <w:rPr>
          <w:rFonts w:ascii="Times New Roman" w:cs="Traditional Arabic" w:hAnsi="Times New Roman"/>
          <w:b w:val="false"/>
          <w:sz w:val="32"/>
          <w:szCs w:val="32"/>
          <w:rtl/>
        </w:rPr>
        <w:t xml:space="preserve">حسين، طه: مع أبي العلاء في سجنه، دار المعارف، القاهرة، 1939.</w:t>
      </w:r>
    </w:p>
    <w:p>
      <w:pPr>
        <w:bidi/>
        <w:spacing w:after="120" w:before="0" w:line="360" w:lineRule="auto"/>
        <w:jc w:val="both"/>
      </w:pPr>
      <w:r>
        <w:rPr>
          <w:rFonts w:ascii="Times New Roman" w:cs="Traditional Arabic" w:hAnsi="Times New Roman"/>
          <w:b w:val="false"/>
          <w:sz w:val="32"/>
          <w:szCs w:val="32"/>
          <w:rtl/>
        </w:rPr>
        <w:t xml:space="preserve">ضيف، شوقي: الفنّ ومذاهبه في النّثر العربيّ، ط 13، دار المعارف، القاهرة، (د. ت).</w:t>
      </w:r>
    </w:p>
    <w:p>
      <w:pPr>
        <w:bidi/>
        <w:spacing w:after="120" w:before="0" w:line="360" w:lineRule="auto"/>
        <w:jc w:val="both"/>
      </w:pPr>
      <w:r>
        <w:rPr>
          <w:rFonts w:ascii="Times New Roman" w:cs="Traditional Arabic" w:hAnsi="Times New Roman"/>
          <w:b w:val="false"/>
          <w:sz w:val="32"/>
          <w:szCs w:val="32"/>
          <w:rtl/>
        </w:rPr>
        <w:t xml:space="preserve">طه، نعمان محمّد أمين: السّخرية في الأدب العربيّ حتّى نهاية القرن الرّابع الهجريّ، دار التّوفيقيّة، القاهرة، 1979.</w:t>
      </w:r>
    </w:p>
    <w:p>
      <w:pPr>
        <w:bidi/>
        <w:spacing w:after="120" w:before="0" w:line="360" w:lineRule="auto"/>
        <w:jc w:val="both"/>
      </w:pPr>
      <w:r>
        <w:rPr>
          <w:rFonts w:ascii="Times New Roman" w:cs="Traditional Arabic" w:hAnsi="Times New Roman"/>
          <w:b w:val="false"/>
          <w:sz w:val="32"/>
          <w:szCs w:val="32"/>
          <w:rtl/>
        </w:rPr>
        <w:t xml:space="preserve">العقّاد، عبّاس محمود: مطالعات في الكتب والحياة، مؤسّسة هنداوي للتّعليم والثّقافة، القاهرة، 2013.</w:t>
      </w:r>
    </w:p>
    <w:p>
      <w:pPr>
        <w:bidi/>
        <w:spacing w:after="120" w:before="0" w:line="360" w:lineRule="auto"/>
        <w:jc w:val="both"/>
      </w:pPr>
      <w:r>
        <w:rPr>
          <w:rFonts w:ascii="Times New Roman" w:cs="Traditional Arabic" w:hAnsi="Times New Roman"/>
          <w:b w:val="false"/>
          <w:sz w:val="32"/>
          <w:szCs w:val="32"/>
          <w:rtl/>
        </w:rPr>
        <w:t xml:space="preserve">"فلسفة السّخرية في رسالة الغفران لأبي العلاء المعرّي"، مجلّة الحكمة للدّراسات الفلسفيّة، المجلّد 10، العدد 3، الجزائر، 2022.</w:t>
      </w:r>
    </w:p>
    <w:p>
      <w:pPr>
        <w:bidi/>
        <w:spacing w:after="120" w:before="0" w:line="360" w:lineRule="auto"/>
        <w:jc w:val="both"/>
      </w:pPr>
      <w:r>
        <w:rPr>
          <w:rFonts w:ascii="Times New Roman" w:cs="Traditional Arabic" w:hAnsi="Times New Roman"/>
          <w:b w:val="false"/>
          <w:sz w:val="32"/>
          <w:szCs w:val="32"/>
          <w:rtl/>
        </w:rPr>
        <w:t xml:space="preserve">كتّاني، سمير: "الأدب كإطار للمعارف في الموروث العربيّ الكلاسيكيّ: مفاهيمه، طبيعته ومضامينه"، المجمع، العدد 1، 2009، ص 1-26.</w:t>
      </w:r>
    </w:p>
    <w:p>
      <w:pPr>
        <w:bidi/>
        <w:spacing w:after="120" w:before="0" w:line="360" w:lineRule="auto"/>
        <w:jc w:val="both"/>
      </w:pPr>
      <w:r>
        <w:rPr>
          <w:rFonts w:ascii="Times New Roman" w:cs="Traditional Arabic" w:hAnsi="Times New Roman"/>
          <w:b w:val="false"/>
          <w:sz w:val="32"/>
          <w:szCs w:val="32"/>
          <w:rtl/>
        </w:rPr>
        <w:t xml:space="preserve">مبارك، زكي: النّثر الفنّيّ في القرن الرّابع، مؤسّسة هنداوي للتّعليم والثّقافة، القاهرة، 2013.</w:t>
      </w:r>
    </w:p>
    <w:p>
      <w:pPr>
        <w:bidi/>
        <w:spacing w:after="120" w:before="0" w:line="360" w:lineRule="auto"/>
        <w:jc w:val="both"/>
      </w:pPr>
      <w:r>
        <w:rPr>
          <w:rFonts w:ascii="Times New Roman" w:cs="Traditional Arabic" w:hAnsi="Times New Roman"/>
          <w:b w:val="false"/>
          <w:sz w:val="32"/>
          <w:szCs w:val="32"/>
          <w:rtl/>
        </w:rPr>
        <w:t xml:space="preserve">المعرّي، أبو العلاء: رسالة الغفران، تحقيق عائشة عبد الرّحمن (بنت الشّاطئ)، دار المعارف، القاهرة، 1963.</w:t>
      </w:r>
    </w:p>
    <w:p>
      <w:pPr>
        <w:bidi/>
        <w:spacing w:after="120" w:before="0" w:line="360" w:lineRule="auto"/>
        <w:jc w:val="both"/>
      </w:pPr>
      <w:r>
        <w:rPr>
          <w:rFonts w:ascii="Times New Roman" w:cs="Traditional Arabic" w:hAnsi="Times New Roman"/>
          <w:b w:val="false"/>
          <w:sz w:val="32"/>
          <w:szCs w:val="32"/>
          <w:rtl/>
        </w:rPr>
        <w:t xml:space="preserve">المعرّي، أبو العلاء: لزوم ما لا يلزم (اللزوميّات)، دار صادر، بيروت، (د. ت).</w:t>
      </w:r>
    </w:p>
    <w:p>
      <w:pPr>
        <w:bidi/>
        <w:spacing w:after="120" w:before="0" w:line="360" w:lineRule="auto"/>
        <w:jc w:val="both"/>
      </w:pPr>
      <w:r>
        <w:rPr>
          <w:rFonts w:ascii="Times New Roman" w:cs="Traditional Arabic" w:hAnsi="Times New Roman"/>
          <w:b w:val="false"/>
          <w:sz w:val="32"/>
          <w:szCs w:val="32"/>
          <w:rtl/>
        </w:rPr>
        <w:t xml:space="preserve">المعرّي، أبو العلاء: مختارات من رسالة الغفران، اختيار وتقديم أحمد رجب شلتوت، أزهى العربيّة للإعلام والفنون والدّراسات الإنسانيّة والنّشر، الجيزة، 2025.</w:t>
      </w:r>
    </w:p>
    <w:p>
      <w:pPr>
        <w:pStyle w:val="Heading2"/>
        <w:bidi/>
        <w:spacing w:after="120" w:before="240" w:line="360" w:lineRule="auto"/>
        <w:jc w:val="right"/>
      </w:pPr>
      <w:r>
        <w:rPr>
          <w:rFonts w:ascii="Times New Roman" w:cs="Traditional Arabic" w:hAnsi="Times New Roman"/>
          <w:b/>
          <w:bCs/>
          <w:sz w:val="36"/>
          <w:szCs w:val="36"/>
          <w:rtl/>
        </w:rPr>
        <w:t xml:space="preserve">المراجع الأجنبيّة</w:t>
      </w:r>
    </w:p>
    <w:p>
      <w:pPr>
        <w:spacing w:after="120" w:line="360" w:lineRule="auto"/>
        <w:jc w:val="left"/>
      </w:pPr>
      <w:r>
        <w:rPr>
          <w:rFonts w:ascii="Times New Roman" w:cs="Times New Roman" w:hAnsi="Times New Roman"/>
          <w:i w:val="false"/>
          <w:iCs w:val="false"/>
          <w:sz w:val="24"/>
          <w:szCs w:val="24"/>
        </w:rPr>
        <w:t xml:space="preserve">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University Press, New York, 2013.</w:t>
      </w:r>
    </w:p>
    <w:p>
      <w:pPr>
        <w:spacing w:after="120" w:line="360" w:lineRule="auto"/>
        <w:jc w:val="left"/>
      </w:pPr>
      <w:r>
        <w:rPr>
          <w:rFonts w:ascii="Times New Roman" w:cs="Times New Roman" w:hAnsi="Times New Roman"/>
          <w:i w:val="false"/>
          <w:iCs w:val="false"/>
          <w:sz w:val="24"/>
          <w:szCs w:val="24"/>
        </w:rPr>
        <w:t xml:space="preserve">Nicholson, Reynold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University Press, Cambridge,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رسالة الغفران، تحقيق عائشة عبد الرّحمن (بنت الشّاطئ)، دار المعارف، القاهرة، 1963؛ المعرّي، أبو العلاء: مختارات من رسالة الغفران، اختيار وتقديم أحمد رجب شلتوت، أزهى العربيّة للإعلام والفنون والدّراسات الإنسانيّة والنّشر، الجيزة، 2025.</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مفاهيمه، طبيعته ومضامينه"، المجمع، العدد 1، 2009، ص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النّثر الفنّيّ في القرن الرّابع، مؤسّسة هنداوي للتّعليم والثّقافة، القاهرة، 2013؛ ضيف، شوقي: الفنّ ومذاهبه في النّثر العربيّ، ط 13، دار المعارف، القاهرة، (د. ت).</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النّثر الفنّيّ في القرن الرّابع، الباب الأوّل. وانظر: ضيف، الفنّ ومذاهبه في النّثر العربيّ.</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النّثر الفنّيّ في القرن الرّابع؛ وضيف، الفنّ ومذاهبه في النّثر العربيّ.</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الفنّ ومذاهبه في النّثر العربيّ.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"تقديم"، في: المعرّي، مختارات من رسالة الغفران، أزهى العربيّة، الجيزة، 2025، ص 10.</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تقديم مختارات من رسالة الغفران، ص 6.</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تجديد ذكرى أبي العلاء، مؤسّسة هنداوي للتّعليم والثّقافة، القاهرة، 2013، وانظر عرض ذلك في: توحيدي فر، نرجس: أبو العلاء المعرّي: دراسة في معتقداته الدّينيّة، دار صادر، بيروت، 2011، ص 6.</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3 (التّقديم).</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5.</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5.</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لزوم ما لا يلزم (اللزوميّات)، دار صادر، بيروت، (د. ت).</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مع أبي العلاء في سجنه، دار المعارف، القاهرة، 1939.</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5-6.</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3-4 (التّقديم).</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3 (التّقديم).</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3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10.</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7.</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7. ولعلّ في هذه السّمة الأخيرة، أي الرّيبة من صورة الدّين لا من الدّين ذاته، مفتاح فهم سخرية الرّسالة كلّها كما سيتّضح في الفصل الثّالث.</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7.</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Reynold A.: Studies in Islamic Poetry, Cambridge University Press, Cambridge, 1921.</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Abū al-ʿAlāʾ: The Epistle of Forgiveness, edited and translated by Geert Jan van Gelder and Gregor Schoeler, New York University Press, New York, 2013.</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دراسة نصّيّة مقارنة"، مجلّة الجامعة الإسلاميّة للبحوث الإنسانيّة، المجلّد 23، العدد 2، غزّة، 2015، ص 1. وانظر: شلتوت، تقديم مختارات من رسالة الغفران، ص 6-7.</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تجديد ذكرى أبي العلاء؛ وحسين، مع أبي العلاء في سجنه.</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أبو العلاء المعرّي، ص 4 (التّقديم).</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Studies in Islamic Poetry.</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السّخرية في الأدب العربيّ حتّى نهاية القرن الرّابع الهجريّ، دار التّوفيقيّة، القاهرة، 1979.</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طه، السّخرية في الأدب العربيّ، في مواضع متفرّقة من الكتاب.</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9.</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9. ويتحفّظ شلتوت نفسه على إخضاع النّصّ كلّه للتّحليل النّفسيّ، لأنّ النّصّ يتجاوز في طبيعة الحال تلك الرّغبات.</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9.</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رسالة الغفران، تحقيق بنت الشّاطئ، قسم الرّحلة.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الرّحلة. وقارن: شلتوت، تقديم مختارات من رسالة الغفران، ص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تقديم مختارات من رسالة الغفران، ص 7-8.</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الرّحلة (لقاء آدم وجنّة العفاريت).</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الرّحلة. وقد جعله يتشوّق إلى الجنّة بما نعتها من أوصاف أشجارها وخمرها وأباريقها وعسلها وسمكها، وجعله يطلّ على مجالس من العلماء الّذين سمع بذكرهم: شلتوت، تقديم مختارات من رسالة الغفران، ص 9-10.</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الرّحلة (محاورة إبليس واطّلالة الخنساء).</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رسالة الغفران، تحقيق بنت الشّاطئ، قسم الرّدّ على ابن القارح. وقد كان المعرّي يلقّب نفسه في رسائله بألقاب التّصاغر، وفي هذا التّصاغر المعلن وجه من وجوه سخريته المزدوجة.</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السّخرية في الأدب العربيّ. وانظر تطبيقه على مطلع الغفران: شلتوت، تقديم مختارات من رسالة الغفران، ص 9-10، حيث المقدّمة المادحة لرسالة ابن القارح "الكلمة الطّيّبة" تحمل في سياقها العامّ معنى الامتحان.</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"فلسفة السّخرية في رسالة الغفران لأبي العلاء المعرّي"، مجلّة الحكمة للدّراسات الفلسفيّة، المجلّد 10، العدد 3، الجزائر، 2022.</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مطالعات في الكتب والحياة، مؤسّسة هنداوي للتّعليم والثّقافة، القاهرة، 2013، فصل "السّخر في رسالة الغفران".</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السّخرية في الأدب العربيّ. والموازنة المذكورة هنا من استنتاج الباحث بناءً على ما تقدّم في الفصل.</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8-9.</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تقديم مختارات من رسالة الغفران، ص 6-7. وهذا الاستنتاج في نقله عن شلتوت لا يعني تبنّيه؛ فالمسألة خلافيّة كما يتّضح تاليًا.</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في الكوميديا الإلهيّة لدانتي"، ص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2026-08-14T18:53:12.625Z</dcterms:created>
  <dcterms:modified xsi:type="dcterms:W3CDTF">2026-08-14T18:53:12.626Z</dcterms:modified>
</cp:coreProperties>
</file>

<file path=docProps/custom.xml><?xml version="1.0" encoding="utf-8"?>
<Properties xmlns="http://schemas.openxmlformats.org/officeDocument/2006/custom-properties" xmlns:vt="http://schemas.openxmlformats.org/officeDocument/2006/docPropsVTypes"/>
</file>