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29"/>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0"/>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1"/>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w:t>
      </w:r>
      <w:r>
        <w:rPr>
          <w:rStyle w:val="FootnoteReference"/>
        </w:rPr>
        <w:footnoteReference w:id="32"/>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3"/>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4"/>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35"/>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6"/>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7"/>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8"/>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9"/>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0"/>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1"/>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43"/>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4"/>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5"/>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6"/>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47"/>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8"/>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49"/>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50"/>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51"/>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52"/>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53"/>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4"/>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55"/>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6"/>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7"/>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8"/>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59"/>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60"/>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61"/>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62"/>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63"/>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64"/>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65"/>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6"/>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7"/>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9"/>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70"/>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71"/>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72"/>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73"/>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74"/>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75"/>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76"/>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77"/>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8"/>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9"/>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80"/>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81"/>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82"/>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83"/>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84"/>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85"/>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86"/>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87"/>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8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9"/>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90"/>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91"/>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92"/>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93"/>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94"/>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95"/>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96"/>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98"/>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99"/>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00"/>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01"/>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02"/>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03"/>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04"/>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05"/>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06"/>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07"/>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08"/>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09"/>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10"/>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11"/>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12"/>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13"/>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w:t>
      </w:r>
      <w:r>
        <w:rPr>
          <w:rStyle w:val="FootnoteReference"/>
        </w:rPr>
        <w:footnoteReference w:id="114"/>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15"/>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16"/>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17"/>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18"/>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19"/>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20"/>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21"/>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22"/>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23"/>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1244–1245.</w:t>
      </w:r>
    </w:p>
  </w:footnote>
  <w:footnote w:id="30">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1242.</w:t>
      </w:r>
    </w:p>
  </w:footnote>
  <w:footnote w:id="31">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w:t>
      </w:r>
    </w:p>
  </w:footnote>
  <w:footnote w:id="33">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4">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w:t>
      </w:r>
    </w:p>
  </w:footnote>
  <w:footnote w:id="35">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36">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7">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344 ואילך.</w:t>
      </w:r>
    </w:p>
  </w:footnote>
  <w:footnote w:id="38">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9">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0">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1">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2">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3">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4">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5">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6">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42</w:t>
      </w:r>
      <w:r>
        <w:rPr>
          <w:rFonts w:ascii="David" w:cs="David" w:eastAsia="David" w:hAnsi="David"/>
          <w:sz w:val="20"/>
          <w:szCs w:val="20"/>
          <w:rtl/>
        </w:rPr>
        <w:t xml:space="preserve">, לעניין היחס בין רישיון לחזקה.</w:t>
      </w:r>
    </w:p>
  </w:footnote>
  <w:footnote w:id="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 בעמ׳ 3–4 לפסק הדין.</w:t>
      </w:r>
    </w:p>
  </w:footnote>
  <w:footnote w:id="50">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51">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52">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53">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4">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55">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56">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57">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8">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50</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43</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61">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63">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64">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65">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282.</w:t>
      </w:r>
    </w:p>
  </w:footnote>
  <w:footnote w:id="66">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7">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8">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9">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151.</w:t>
      </w:r>
    </w:p>
  </w:footnote>
  <w:footnote w:id="70">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153–154.</w:t>
      </w:r>
    </w:p>
  </w:footnote>
  <w:footnote w:id="71">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72">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282–284, והפסיקה הנסקרת שם.</w:t>
      </w:r>
    </w:p>
  </w:footnote>
  <w:footnote w:id="74">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65</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76">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31</w:t>
      </w:r>
      <w:r>
        <w:rPr>
          <w:rFonts w:ascii="David" w:cs="David" w:eastAsia="David" w:hAnsi="David"/>
          <w:sz w:val="20"/>
          <w:szCs w:val="20"/>
          <w:rtl/>
        </w:rPr>
        <w:t xml:space="preserve">, שבו לא נזקפה ההתנהלות הבלתי פורמלית רבת-השנים לחובת הרוכשת.</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84">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36</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8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88">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9">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90">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9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1243.</w:t>
      </w:r>
    </w:p>
  </w:footnote>
  <w:footnote w:id="92">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93">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94">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75</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97">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98">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99">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00">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01">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92</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05">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06">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08">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10">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11">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12">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14">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1241.</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16">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17">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1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120">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85</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23">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2026-08-28T08:19:02.534Z</dcterms:created>
  <dcterms:modified xsi:type="dcterms:W3CDTF">2026-08-28T08:19:02.534Z</dcterms:modified>
</cp:coreProperties>
</file>

<file path=docProps/custom.xml><?xml version="1.0" encoding="utf-8"?>
<Properties xmlns="http://schemas.openxmlformats.org/officeDocument/2006/custom-properties" xmlns:vt="http://schemas.openxmlformats.org/officeDocument/2006/docPropsVTypes"/>
</file>