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204787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47875" cy="762000"/>
                    </a:xfrm>
                    <a:prstGeom prst="rect">
                      <a:avLst/>
                    </a:prstGeom>
                  </pic:spPr>
                </pic:pic>
              </a:graphicData>
            </a:graphic>
          </wp:inline>
        </w:drawing>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השאלה:</w:t>
      </w:r>
    </w:p>
    <w:p>
      <w:pPr>
        <w:bidi/>
        <w:spacing w:line="480" w:lineRule="auto"/>
        <w:jc w:val="center"/>
      </w:pPr>
      <w:r>
        <w:rPr>
          <w:rFonts w:ascii="David" w:cs="David" w:eastAsia="David" w:hAnsi="David"/>
          <w:b/>
          <w:bCs/>
          <w:sz w:val="24"/>
          <w:szCs w:val="24"/>
          <w:rtl/>
        </w:rPr>
        <w:t xml:space="preserve">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48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הקהילה גדלה במהירות: מפקד שערך זאב סמילנסקי בקיץ 1905 מנה ביפו 4,765 יהודים, ובסוף 1906 כבר ישבו בה כ-7,000. מצוקת הדיור שנוצרה בעקבות הגידול הזה עמדה ברקע ייסודה של חברת "אחוזת בית". יוסי כץ, שחקר את תולדות החברה,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48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ומאז חיבורה של העיר למסילת הרכבת החיג'אזית ב-1905 גבר זרם המהגרים אליה מכפרי הגליל ומחוצה לארץ. בירושלים הקימו המשפחות המיוחסות שכונות מוסלמיות מצפון לחומה, ובהן שייח' ג'ראח. גם ההנהגה העירונית הייתה ערבית. בירושלים קמה עירייה כבר בראשית שנות השישים של המאה, מן הראשונות באימפריה העות'מאנית, ואף שישבו בה נציגים בני שלוש הדתות, בראשה עמדו בני המשפחות המוסלמיות המיוחסות. קרק, שחקרה את פעילות העירייה, הראתה כי זו יזמה סלילת רחובות, התקנת תאורה, פיקוח על השווקים ומתן רישיונות בנייה, ועיצבה בכך את דמותה של העיר המתרחבת. דפוס דומה התקיים בעיריית יפו. לב טוב הוסיף כי בשווקים, בנמלים ובשכונות המעורבות התקיימו קשרי מסחר ושכנות יומיומיים בין שתי האוכלוסיות.</w:t>
      </w:r>
    </w:p>
    <w:p>
      <w:pPr>
        <w:bidi/>
        <w:spacing w:line="480" w:lineRule="auto"/>
        <w:jc w:val="both"/>
      </w:pPr>
      <w:r>
        <w:rPr>
          <w:rFonts w:ascii="David" w:cs="David" w:eastAsia="David" w:hAnsi="David"/>
          <w:sz w:val="24"/>
          <w:szCs w:val="24"/>
          <w:rtl/>
        </w:rPr>
        <w:t xml:space="preserve">הנתונים הכמותיים ממחישים את חלקה של כל אוכלוסייה בתהליך. כלל אוכלוסיית הארץ גדלה מכ-275,000 נפש בראשית המאה לכ-797,000 ערב מלחמת העולם הראשונה, והאוכלוסייה היהודית גדלה בתוכה מכ-6,500 לכ-85,000, רובם המכריע יושבי ערים (בן-אריה). בירושלים מנו היהודים בראשית המאה כ-2,250 מתוך כ-9,000 תושבים, וערב המלחמה כ-45,000 מתוך כ-70,000. הגידול היהודי לבדו מסביר אפוא את מרבית גידולה של העיר. גם השינוי הפיסי ניכר במספרים: מספר הבתים בירושלים הוכפל ואף שולש בין 1855 ל-1880, ובראשית שנות השמונים של המאה כבר השתרע רוב השטח הבנוי למגורים בעיר מחוץ לחומות, רובו פרי בנייה יהודית.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48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 בשתיהן גם יחד נדד מוקד הכובד מערי הפנים אל ערי החוף, וערב המלחמה ריכזו יפו וחיפה את עיקר התנופה הדמוגרפית והכלכלית של הארץ.</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480" w:lineRule="auto"/>
        <w:jc w:val="both"/>
      </w:pPr>
      <w:r>
        <w:rPr>
          <w:rFonts w:ascii="David" w:cs="David" w:eastAsia="David" w:hAnsi="David"/>
          <w:b w:val="false"/>
          <w:bCs w:val="false"/>
          <w:sz w:val="24"/>
          <w:szCs w:val="24"/>
          <w:rtl/>
        </w:rPr>
        <w:t xml:space="preserve">קרק, רות, "פעילות עיריית ירושלים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6 (תשל"ח), עמ' 74-94.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b62ec331beac094deec0042cae094df2e2ed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2026-07-31T20:41:08.866Z</dcterms:created>
  <dcterms:modified xsi:type="dcterms:W3CDTF">2026-07-31T20:41:08.866Z</dcterms:modified>
</cp:coreProperties>
</file>

<file path=docProps/custom.xml><?xml version="1.0" encoding="utf-8"?>
<Properties xmlns="http://schemas.openxmlformats.org/officeDocument/2006/custom-properties" xmlns:vt="http://schemas.openxmlformats.org/officeDocument/2006/docPropsVTypes"/>
</file>