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הדיר ___________________</w:t>
      </w:r>
    </w:p>
    <w:p>
      <w:pPr>
        <w:bidi w:val="1"/>
        <w:spacing w:line="360" w:lineRule="auto" w:after="120"/>
        <w:jc w:val="center"/>
      </w:pPr>
      <w:r>
        <w:rPr>
          <w:rFonts w:ascii="David" w:hAnsi="David" w:cs="David"/>
          <w:b w:val="0"/>
          <w:i w:val="0"/>
          <w:sz w:val="26"/>
          <w:szCs w:val="26"/>
          <w:rtl w:val="1"/>
        </w:rPr>
        <w:t>ת.ז: ___________________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פגיעוּת מגדרית: נשים ונערות עם מוגבלות ומצבי סיכון</w:t>
      </w:r>
    </w:p>
    <w:p>
      <w:pPr>
        <w:bidi w:val="1"/>
        <w:spacing w:line="360" w:lineRule="auto" w:after="160"/>
        <w:jc w:val="both"/>
      </w:pPr>
      <w:r>
        <w:rPr>
          <w:rFonts w:ascii="David" w:hAnsi="David" w:cs="David"/>
          <w:b w:val="0"/>
          <w:i w:val="0"/>
          <w:sz w:val="24"/>
          <w:szCs w:val="24"/>
          <w:rtl w:val="1"/>
        </w:rPr>
        <w:t>בחרתי להעמיק במפגש שבין מגדר לבין מוגבלות, משום שזה החלק שהכי הפתיע אותי בקורס. הבסיס העובדתי מוצק. סקירה שיטתית ומטא-אנליזה רחבה מצאו שמבוגרים עם מוגבלות נמצאים בסיכון גבוה משמעותית לאלימות בהשוואה למבוגרים ללא מוגבלות, ושבתוך הקבוצה הזו נשים חשופות במיוחד לאלימות מינית וזוגית (Hughes et al., 2012). כלומר לא מדובר בתחושה אלא בתופעה מתועדת שחוזרת על עצמה במחקרים ובמדינות שונות.</w:t>
      </w:r>
    </w:p>
    <w:p>
      <w:pPr>
        <w:bidi w:val="1"/>
        <w:spacing w:line="360" w:lineRule="auto" w:after="160"/>
        <w:jc w:val="both"/>
      </w:pPr>
      <w:r>
        <w:rPr>
          <w:rFonts w:ascii="David" w:hAnsi="David" w:cs="David"/>
          <w:b w:val="0"/>
          <w:i w:val="0"/>
          <w:sz w:val="24"/>
          <w:szCs w:val="24"/>
          <w:rtl w:val="1"/>
        </w:rPr>
        <w:t>סקירת ספרות שהתמקדה דווקא בנשים עם מוגבלות מוסיפה על כך שכבה חשובה. היא מראה שנשים עם מוגבלות חוות לא רק את צורות האלימות המוכרות, אלא גם פגיעות שמכוונות ישירות למוגבלות שלהן, כמו מניעת עזרים, שליטה בתרופות או ניצול התלות הפיזית. הכותבות מדגישות שהתלות במטפל, לצד חסמים בתקשורת ובנגישות, מקשה על הנשים לחשוף את הפגיעה ולקבל מענה (Plummer &amp; Findley, 2012). זהו בדיוק אותו מנגנון של תלות שקרן תיארה בשיעור, כאן הוא מקבל ביסוס מחקרי.</w:t>
      </w:r>
    </w:p>
    <w:p>
      <w:pPr>
        <w:bidi w:val="1"/>
        <w:spacing w:line="360" w:lineRule="auto" w:after="160"/>
        <w:jc w:val="both"/>
      </w:pPr>
      <w:r>
        <w:rPr>
          <w:rFonts w:ascii="David" w:hAnsi="David" w:cs="David"/>
          <w:b w:val="0"/>
          <w:i w:val="0"/>
          <w:sz w:val="24"/>
          <w:szCs w:val="24"/>
          <w:rtl w:val="1"/>
        </w:rPr>
        <w:t>אם אלה מקורות הסיכון, מהו כיוון המענה. כאן עזר לי מחקר שבחן הגדרה עצמית ואוטונומיה בקבלת החלטות בקרב מתבגרים עם מוגבלות. הוא מצא שההגדרה העצמית איננה תכונה מולדת אלא יכולת שנבנית או נחסמת בהתאם לסביבה, ושדווקא מתוך רצון להגן נוטים המבוגרים לצמצם את מרחב הבחירה של הנער או הנערה, ובכך מעכבים את היכולת שהם מבקשים לחזק (טאוב, 2018). עבור נערות עם מוגבלות המשמעות כפולה, משום שידע על גבולות, על מיניות ועל זכויות הוא בעצמו גורם מגן מפני פגיעה.</w:t>
      </w:r>
    </w:p>
    <w:p>
      <w:pPr>
        <w:bidi w:val="1"/>
        <w:spacing w:line="360" w:lineRule="auto" w:after="160"/>
        <w:jc w:val="both"/>
      </w:pPr>
      <w:r>
        <w:rPr>
          <w:rFonts w:ascii="David" w:hAnsi="David" w:cs="David"/>
          <w:b w:val="0"/>
          <w:i w:val="0"/>
          <w:sz w:val="24"/>
          <w:szCs w:val="24"/>
          <w:rtl w:val="1"/>
        </w:rPr>
        <w:t>המסקנה שאני לוקחת היא שהגנה על נשים ונערות עם מוגבלות לא יכולה להסתכם בשמירה מבחוץ. שמירה לבדה משאירה אותן תלויות, ולעיתים תלויות דווקא במי שעלול לפגוע. מה שהקורס קרא לו שינוי פרדיגמה ליישום רגיש מגדר מקבל כאן תוכן ממשי, לחזק את הקול, את הידע ואת מעגלי התמיכה של האישה עצמה, כך שהיא לא רק מוגנת אלא גם מסוגלת להגן על עצמה. זו בעיניי החוליה שחסרה כשמדברים רק על מוגנות.</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טאוב, ת' (2018). </w:t>
      </w:r>
      <w:r>
        <w:rPr>
          <w:rFonts w:ascii="David" w:hAnsi="David" w:cs="David"/>
          <w:b w:val="0"/>
          <w:i/>
          <w:sz w:val="24"/>
          <w:szCs w:val="24"/>
          <w:rtl w:val="1"/>
        </w:rPr>
        <w:t>הגדרה עצמית ואוטונומיה בקבלת החלטות של מתבגרים עם מוגבלות</w:t>
      </w:r>
      <w:r>
        <w:rPr>
          <w:rFonts w:ascii="David" w:hAnsi="David" w:cs="David"/>
          <w:b w:val="0"/>
          <w:i w:val="0"/>
          <w:sz w:val="24"/>
          <w:szCs w:val="24"/>
          <w:rtl w:val="1"/>
        </w:rPr>
        <w:t>. ירושלים: קרן שלם.</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https://www.kshalem.org.il/wp-content/uploads/2023/05/%D7%94%D7%9E%D7%97%D7%A7%D7%A8-%D7%94%D7%9E%D7%9C%D7%90-890-109-2018.pdf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Plummer, S. B., &amp; Findley, P. A. (2012). Women with disabilities' experience with physical and sexual abuse: Review of the literature and implications for the field. </w:t>
      </w:r>
      <w:r>
        <w:rPr>
          <w:rFonts w:ascii="David" w:hAnsi="David" w:cs="David"/>
          <w:b w:val="0"/>
          <w:i/>
          <w:sz w:val="24"/>
          <w:szCs w:val="24"/>
          <w:rtl w:val="1"/>
        </w:rPr>
        <w:t>Trauma, Violence, &amp; Abuse, 13</w:t>
      </w:r>
      <w:r>
        <w:rPr>
          <w:rFonts w:ascii="David" w:hAnsi="David" w:cs="David"/>
          <w:b w:val="0"/>
          <w:i w:val="0"/>
          <w:sz w:val="24"/>
          <w:szCs w:val="24"/>
          <w:rtl w:val="1"/>
        </w:rPr>
        <w:t>(1), 15-29.</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https://doi.org/10.1177/1524838011426014</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kshalem.org.il/wp-content/uploads/2023/05/%D7%94%D7%9E%D7%97%D7%A7%D7%A8-%D7%94%D7%9E%D7%9C%D7%90-890-109-2018.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524838011426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