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מרים ___________________</w:t>
      </w:r>
    </w:p>
    <w:p>
      <w:pPr>
        <w:bidi w:val="1"/>
        <w:spacing w:line="360" w:lineRule="auto" w:after="120"/>
        <w:jc w:val="center"/>
      </w:pPr>
      <w:r>
        <w:rPr>
          <w:rFonts w:ascii="David" w:hAnsi="David" w:cs="David"/>
          <w:b w:val="0"/>
          <w:i w:val="0"/>
          <w:sz w:val="26"/>
          <w:szCs w:val="26"/>
          <w:rtl w:val="1"/>
        </w:rPr>
        <w:t>ת.ז: ___________________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אוטיזם</w:t>
      </w:r>
    </w:p>
    <w:p>
      <w:pPr>
        <w:bidi w:val="1"/>
        <w:spacing w:line="360" w:lineRule="auto" w:after="160"/>
        <w:jc w:val="both"/>
      </w:pPr>
      <w:r>
        <w:rPr>
          <w:rFonts w:ascii="David" w:hAnsi="David" w:cs="David"/>
          <w:b w:val="0"/>
          <w:i w:val="0"/>
          <w:sz w:val="24"/>
          <w:szCs w:val="24"/>
          <w:rtl w:val="1"/>
        </w:rPr>
        <w:t>הנושא שבחרתי להעמיק בו צמח ישירות מהעבודה שלנו על מעון בני ציון, המתח בין החובה להגן על אדם עם אוטיזם לבין הזכות שלו להחליט על חייו. 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ושדווקא אנשים עם מוגבלות המלווה בקושי תקשורתי או קוגניטיבי חשופים יותר (Hughes et al., 2012). הנתון הזה מסביר מדוע שאלת ההגנה כל כך נוקבת כשמדובר באנשים על הרצף.</w:t>
      </w:r>
    </w:p>
    <w:p>
      <w:pPr>
        <w:bidi w:val="1"/>
        <w:spacing w:line="360" w:lineRule="auto" w:after="160"/>
        <w:jc w:val="both"/>
      </w:pPr>
      <w:r>
        <w:rPr>
          <w:rFonts w:ascii="David" w:hAnsi="David" w:cs="David"/>
          <w:b w:val="0"/>
          <w:i w:val="0"/>
          <w:sz w:val="24"/>
          <w:szCs w:val="24"/>
          <w:rtl w:val="1"/>
        </w:rPr>
        <w:t>הפיתוי המובן הוא להסיק שאם הסיכון גבוה, יש להגן יותר, ולעיתים גם להחליט במקום. כאן נכנס הממצא שהפתיע אותי. מחקר איכותני שהקשיב ישירות למבוגרים אוטיסטים עם מוגבלות שכלית מצא שאוטונומיה, מבחינתם, פירושה "להיות מי שאני", ושבחירה ושליטה על החיים אינן מנוגדות לתחושת ביטחון אלא תנאי לה. אותם משתתפים תיארו סביבה בטוחה כזו שמאפשרת להם לתקשר בדרך שלהם ולהחזיק שליטה, ולא כזו ששומרת עליהם על ידי צמצום הבחירות שלהם (Ryan et al., 2024). במילים אחרות, הגנה שמוחקת את הרצון של האדם פוגעת בו גם היא.</w:t>
      </w:r>
    </w:p>
    <w:p>
      <w:pPr>
        <w:bidi w:val="1"/>
        <w:spacing w:line="360" w:lineRule="auto" w:after="160"/>
        <w:jc w:val="both"/>
      </w:pPr>
      <w:r>
        <w:rPr>
          <w:rFonts w:ascii="David" w:hAnsi="David" w:cs="David"/>
          <w:b w:val="0"/>
          <w:i w:val="0"/>
          <w:sz w:val="24"/>
          <w:szCs w:val="24"/>
          <w:rtl w:val="1"/>
        </w:rPr>
        <w:t>ההשלכה המעשית של המתח הזה מתבררת בעבודה של אנשי המקצוע בשטח. מחקר ישראלי שבחן תפיסות ושיקולים של עובדות סוציאליות בתהליכי מינוי אפוטרופסות מול קבלת החלטות נתמכת מצא שהבחירה בין השתיים רחוקה מלהיות טכנית, ושהיא נשענת על עמדות עמוקות לגבי מסוגלות, סיכון ואחריות. הכותבות מציעות לעבור מברירת המחדל של אפוטרופסות אל מודל של תמיכה, שבו האדם נשאר בעל ההחלטה ומקבל סביבו מעגל שמסייע לו להבין ולשקול (הולר וורנר, 2025). הגישה הזאת שוברת את הקישור האוטומטי בין קושי בקבלת החלטות לבין שלילת הזכות להחליט.</w:t>
      </w:r>
    </w:p>
    <w:p>
      <w:pPr>
        <w:bidi w:val="1"/>
        <w:spacing w:line="360" w:lineRule="auto" w:after="160"/>
        <w:jc w:val="both"/>
      </w:pPr>
      <w:r>
        <w:rPr>
          <w:rFonts w:ascii="David" w:hAnsi="David" w:cs="David"/>
          <w:b w:val="0"/>
          <w:i w:val="0"/>
          <w:sz w:val="24"/>
          <w:szCs w:val="24"/>
          <w:rtl w:val="1"/>
        </w:rPr>
        <w:t>כשמצרפים את שלושת המקורות מתקבלת עמדה שאני לוקחת איתי.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הקושי הוא שאין קו ברור שמפריד בין השניים, וכל מקרה דורש שיקול דעת מחדש. מבחינתי המשמעות היא לבנות יחד עם האדם עם האוטיזם את הכלים, הניסיון והביטחון שיאפשרו לו להחליט, במקום להחליט בשבילו כברירת מחדל.</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אפוטרופסות וקבלת החלטות נתמכת בקרב אנשים עם מוגבלות.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tl.gov.il/Publications/Social_Security/124/Documents/holer30.pdf" TargetMode="External"/><Relationship Id="rId10" Type="http://schemas.openxmlformats.org/officeDocument/2006/relationships/hyperlink" Target="https://doi.org/10.1016/S0140-6736(11)61851-5" TargetMode="External"/><Relationship Id="rId11"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