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David" w:cs="David" w:eastAsia="David" w:hAnsi="David"/>
          <w:b/>
          <w:bCs/>
          <w:sz w:val="30"/>
          <w:szCs w:val="30"/>
          <w:rtl/>
        </w:rPr>
        <w:t xml:space="preserve">הפקולטה למשפטים</w:t>
      </w:r>
    </w:p>
    <w:p>
      <w:pPr>
        <w:bidi/>
        <w:spacing w:after="120"/>
        <w:jc w:val="center"/>
      </w:pPr>
      <w:r>
        <w:rPr>
          <w:rFonts w:ascii="David" w:cs="David" w:eastAsia="David" w:hAnsi="David"/>
          <w:sz w:val="26"/>
          <w:szCs w:val="26"/>
          <w:rtl/>
        </w:rPr>
        <w:t xml:space="preserve">תואר שני במשפטים (</w:t>
      </w:r>
      <w:r>
        <w:rPr>
          <w:rFonts w:ascii="David" w:cs="David" w:eastAsia="David" w:hAnsi="David"/>
          <w:sz w:val="26"/>
          <w:szCs w:val="26"/>
          <w:rtl w:val="false"/>
        </w:rPr>
        <w:t xml:space="preserve">LL.M.‎</w:t>
      </w:r>
      <w:r>
        <w:rPr>
          <w:rFonts w:ascii="David" w:cs="David" w:eastAsia="David" w:hAnsi="David"/>
          <w:sz w:val="26"/>
          <w:szCs w:val="26"/>
          <w:rtl/>
        </w:rPr>
        <w:t xml:space="preserve">)</w:t>
      </w:r>
    </w:p>
    <w:p>
      <w:pPr>
        <w:bidi/>
        <w:spacing w:after="1800"/>
        <w:jc w:val="center"/>
      </w:pPr>
      <w:r>
        <w:rPr>
          <w:rFonts w:ascii="David" w:cs="David" w:eastAsia="David" w:hAnsi="David"/>
          <w:sz w:val="26"/>
          <w:szCs w:val="26"/>
          <w:rtl/>
        </w:rPr>
        <w:t xml:space="preserve">סמינר מתקדם במשפט הפלילי</w:t>
      </w:r>
    </w:p>
    <w:p>
      <w:pPr>
        <w:bidi/>
        <w:spacing w:after="60"/>
        <w:jc w:val="center"/>
      </w:pPr>
      <w:r>
        <w:rPr>
          <w:rFonts w:ascii="David" w:cs="David" w:eastAsia="David" w:hAnsi="David"/>
          <w:b/>
          <w:bCs/>
          <w:sz w:val="38"/>
          <w:szCs w:val="38"/>
          <w:rtl/>
        </w:rPr>
        <w:t xml:space="preserve">רפורמת אמו"ן במשטרת ישראל:</w:t>
      </w:r>
    </w:p>
    <w:p>
      <w:pPr>
        <w:bidi/>
        <w:spacing w:after="240"/>
        <w:jc w:val="center"/>
      </w:pPr>
      <w:r>
        <w:rPr>
          <w:rFonts w:ascii="David" w:cs="David" w:eastAsia="David" w:hAnsi="David"/>
          <w:b/>
          <w:bCs/>
          <w:sz w:val="38"/>
          <w:szCs w:val="38"/>
          <w:rtl/>
        </w:rPr>
        <w:t xml:space="preserve">בין אפקטיביות עקרונית ליישום בפועל</w:t>
      </w:r>
    </w:p>
    <w:p>
      <w:pPr>
        <w:bidi/>
        <w:spacing w:after="2000"/>
        <w:jc w:val="center"/>
      </w:pPr>
      <w:r>
        <w:rPr>
          <w:rFonts w:ascii="David" w:cs="David" w:eastAsia="David" w:hAnsi="David"/>
          <w:sz w:val="28"/>
          <w:szCs w:val="28"/>
          <w:rtl/>
        </w:rPr>
        <w:t xml:space="preserve">הפחתת עבריינות, אכיפה ולגיטימציה בקרב צעירים ערבים בני 18 עד 24</w:t>
      </w:r>
    </w:p>
    <w:p>
      <w:pPr>
        <w:bidi/>
        <w:spacing w:after="120"/>
        <w:jc w:val="center"/>
      </w:pPr>
      <w:r>
        <w:rPr>
          <w:rFonts w:ascii="David" w:cs="David" w:eastAsia="David" w:hAnsi="David"/>
          <w:sz w:val="26"/>
          <w:szCs w:val="26"/>
          <w:rtl/>
        </w:rPr>
        <w:t xml:space="preserve">מוגש ל: פרופ' יואב ספיר</w:t>
      </w:r>
    </w:p>
    <w:p>
      <w:pPr>
        <w:bidi/>
        <w:spacing w:after="120"/>
        <w:jc w:val="center"/>
      </w:pPr>
      <w:r>
        <w:rPr>
          <w:rFonts w:ascii="David" w:cs="David" w:eastAsia="David" w:hAnsi="David"/>
          <w:sz w:val="26"/>
          <w:szCs w:val="26"/>
          <w:rtl/>
        </w:rPr>
        <w:t xml:space="preserve">מגיש: יזיד גריפאת</w:t>
      </w:r>
    </w:p>
    <w:p>
      <w:pPr>
        <w:bidi/>
        <w:spacing w:after="120"/>
        <w:jc w:val="center"/>
      </w:pPr>
      <w:r>
        <w:rPr>
          <w:rFonts w:ascii="David" w:cs="David" w:eastAsia="David" w:hAnsi="David"/>
          <w:sz w:val="26"/>
          <w:szCs w:val="26"/>
          <w:rtl/>
        </w:rPr>
        <w:t xml:space="preserve">תאריך הגשה: </w:t>
      </w:r>
      <w:r>
        <w:rPr>
          <w:rFonts w:ascii="David" w:cs="David" w:eastAsia="David" w:hAnsi="David"/>
          <w:sz w:val="26"/>
          <w:szCs w:val="26"/>
          <w:shd w:fill="FFF200" w:color="auto" w:val="clear"/>
          <w:rtl/>
        </w:rPr>
        <w:t xml:space="preserve">[תאריך]</w:t>
      </w:r>
    </w:p>
    <w:p>
      <w:r>
        <w:br w:type="page"/>
      </w: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160" w:before="240"/>
        <w:jc w:val="center"/>
      </w:pPr>
      <w:r>
        <w:rPr>
          <w:rFonts w:ascii="David" w:cs="David" w:eastAsia="David" w:hAnsi="David"/>
          <w:b/>
          <w:bCs/>
          <w:sz w:val="32"/>
          <w:szCs w:val="32"/>
          <w:rtl/>
        </w:rPr>
        <w:t xml:space="preserve">1. מבוא</w:t>
      </w:r>
    </w:p>
    <w:p>
      <w:pPr>
        <w:bidi/>
        <w:spacing w:after="120" w:line="360"/>
        <w:ind w:firstLine="0"/>
        <w:jc w:val="both"/>
      </w:pPr>
      <w:r>
        <w:rPr>
          <w:rFonts w:ascii="David" w:cs="David" w:eastAsia="David" w:hAnsi="David"/>
          <w:sz w:val="24"/>
          <w:szCs w:val="24"/>
          <w:rtl/>
        </w:rPr>
        <w:t xml:space="preserve">האלימות בחברה הערבית בישראל פוגעת בביטחונו של ציבור רחב. לפי מבקר המדינה, בשנים 2014 עד 2016 היה שיעור עבירות הירי ביישובי החברה הערבית גבוה פי 17.5 מן השיעור באוכלוסייה היהודית, ושיעור הנפגעים מנשק בלתי חוקי גבוה פי 12.</w:t>
      </w:r>
      <w:r>
        <w:rPr>
          <w:rStyle w:val="FootnoteReference"/>
        </w:rPr>
        <w:footnoteReference w:id="1"/>
      </w:r>
      <w:r>
        <w:rPr>
          <w:rFonts w:ascii="David" w:cs="David" w:eastAsia="David" w:hAnsi="David"/>
          <w:sz w:val="24"/>
          <w:szCs w:val="24"/>
          <w:rtl/>
        </w:rPr>
        <w:t xml:space="preserve"> בשנת 2019 נרשמו 9,216 אירועי ירי, 94% מן החשודים בהם היו ערבים, ובחברה הערבית נרצחו 95 בני אדם.</w:t>
      </w:r>
      <w:r>
        <w:rPr>
          <w:rStyle w:val="FootnoteReference"/>
        </w:rPr>
        <w:footnoteReference w:id="2"/>
      </w:r>
      <w:r>
        <w:rPr>
          <w:rFonts w:ascii="David" w:cs="David" w:eastAsia="David" w:hAnsi="David"/>
          <w:sz w:val="24"/>
          <w:szCs w:val="24"/>
          <w:rtl/>
        </w:rPr>
        <w:t xml:space="preserve"> הנתונים מחייבים לשאול מה נדרש כדי להגן על הקהילות האלה, ואם די בתוספת תקציב ושוטרים.</w:t>
      </w:r>
    </w:p>
    <w:p>
      <w:pPr>
        <w:bidi/>
        <w:spacing w:after="120" w:line="360"/>
        <w:ind w:firstLine="0"/>
        <w:jc w:val="both"/>
      </w:pPr>
      <w:r>
        <w:rPr>
          <w:rFonts w:ascii="David" w:cs="David" w:eastAsia="David" w:hAnsi="David"/>
          <w:sz w:val="24"/>
          <w:szCs w:val="24"/>
          <w:rtl/>
        </w:rPr>
        <w:t xml:space="preserve">הציבור הערבי מעלה שתי דרישות בו בזמן. צוות המנכ"לים להתמודדות עם הפשיעה בחברה הערבית ייחס את חוסר האמון במשטרה לשילוב של שיטור חסר ולא יעיל עם שימוש באמצעים שאינם מידתיים.</w:t>
      </w:r>
      <w:r>
        <w:rPr>
          <w:rStyle w:val="FootnoteReference"/>
        </w:rPr>
        <w:footnoteReference w:id="3"/>
      </w:r>
      <w:r>
        <w:rPr>
          <w:rFonts w:ascii="David" w:cs="David" w:eastAsia="David" w:hAnsi="David"/>
          <w:sz w:val="24"/>
          <w:szCs w:val="24"/>
          <w:rtl/>
        </w:rPr>
        <w:t xml:space="preserve"> ספיר מזהיר כי הרחבת סמכויות והחמרת ענישה, בלי טיפול בגורמי העומק ובלי שיתוף הציבור הערבי, עלולות להוביל לתוצאות בלתי צודקות מבלי להפחית את הפשיעה.</w:t>
      </w:r>
      <w:r>
        <w:rPr>
          <w:rStyle w:val="FootnoteReference"/>
        </w:rPr>
        <w:footnoteReference w:id="4"/>
      </w:r>
      <w:r>
        <w:rPr>
          <w:rFonts w:ascii="David" w:cs="David" w:eastAsia="David" w:hAnsi="David"/>
          <w:sz w:val="24"/>
          <w:szCs w:val="24"/>
          <w:rtl/>
        </w:rPr>
        <w:t xml:space="preserve"> השאלה היא אפוא איזה שיטור נדרש, לפי אילו מדדים ייחשב אפקטיבי ובאילו גבולות משפטיים.</w:t>
      </w:r>
    </w:p>
    <w:p>
      <w:pPr>
        <w:bidi/>
        <w:spacing w:after="120" w:line="360"/>
        <w:ind w:firstLine="0"/>
        <w:jc w:val="both"/>
      </w:pPr>
      <w:r>
        <w:rPr>
          <w:rFonts w:ascii="David" w:cs="David" w:eastAsia="David" w:hAnsi="David"/>
          <w:sz w:val="24"/>
          <w:szCs w:val="24"/>
          <w:rtl/>
        </w:rPr>
        <w:t xml:space="preserve">רפורמת אמו"ן ("אסטרטגיות מניעה ומיקוד ניהולי") הושקה בסוף שנת 2015 והיא בנויה על מודל השיטור המוכוון בעיות של גולדשטיין. כל תחנה בוחרת שלוש בעיות מקומיות, מנתחת אותן, בונה נגדן תוכנית פעולה ונמדדת לפי התוצאה ולא לפי היקף הפעילות.</w:t>
      </w:r>
      <w:r>
        <w:rPr>
          <w:rStyle w:val="FootnoteReference"/>
        </w:rPr>
        <w:footnoteReference w:id="5"/>
      </w:r>
      <w:r>
        <w:rPr>
          <w:rFonts w:ascii="David" w:cs="David" w:eastAsia="David" w:hAnsi="David"/>
          <w:sz w:val="24"/>
          <w:szCs w:val="24"/>
          <w:rtl/>
        </w:rPr>
        <w:t xml:space="preserve"> בעולם שימש המודל בדרך כלל כמענה נקודתי, ואילו בישראל נעשה ניסיון להחיל אותו על המשטרה כולה, בליווי מערכת מדידה ממוחשבת.</w:t>
      </w:r>
      <w:r>
        <w:rPr>
          <w:rStyle w:val="FootnoteReference"/>
        </w:rPr>
        <w:footnoteReference w:id="6"/>
      </w:r>
      <w:r>
        <w:rPr>
          <w:rFonts w:ascii="David" w:cs="David" w:eastAsia="David" w:hAnsi="David"/>
          <w:sz w:val="24"/>
          <w:szCs w:val="24"/>
          <w:rtl/>
        </w:rPr>
        <w:t xml:space="preserve"> לכן אמו"ן היא מקרה מבחן חשוב.</w:t>
      </w:r>
    </w:p>
    <w:p>
      <w:pPr>
        <w:bidi/>
        <w:spacing w:after="120" w:line="360"/>
        <w:ind w:firstLine="0"/>
        <w:jc w:val="both"/>
      </w:pPr>
      <w:r>
        <w:rPr>
          <w:rFonts w:ascii="David" w:cs="David" w:eastAsia="David" w:hAnsi="David"/>
          <w:sz w:val="24"/>
          <w:szCs w:val="24"/>
          <w:rtl/>
        </w:rPr>
        <w:t xml:space="preserve">שאלת המחקר של העבודה היא באיזו מידה רפורמת אמו"ן אפקטיבית בהפחתת עבריינות ובשיפור האכיפה בקרב צעירים ערבים בני 18 עד 24, וככל שמתגלים קשיים באפקטיביותה, האם מקורם במודל העקרוני עצמו או באופן יישומו במשטרת ישראל. שאלות המשנה הן: מהו ההיגיון המחקרי של המודל ועד כמה הוכחה האפקטיביות של אסטרטגיות מסוגו; כיצד יושם המודל בישראל, ובמיוחד מול פשיעה ואלימות בחברה הערבית; והאם הפערים בתוצאות נובעים מחולשה מובנית של המודל או מבעיות ביישום, ובהן משאבים, אבחון הבעיות, בחירת היעדים, שיטור יתר וחסר, הוגנות ההליכים ואמון הציבור.</w:t>
      </w:r>
    </w:p>
    <w:p>
      <w:pPr>
        <w:bidi/>
        <w:spacing w:after="120" w:line="360"/>
        <w:ind w:firstLine="0"/>
        <w:jc w:val="both"/>
      </w:pPr>
      <w:r>
        <w:rPr>
          <w:rFonts w:ascii="David" w:cs="David" w:eastAsia="David" w:hAnsi="David"/>
          <w:sz w:val="24"/>
          <w:szCs w:val="24"/>
          <w:rtl/>
        </w:rPr>
        <w:t xml:space="preserve">בשנת 2023 היו 54% מן המעצרים של צעירים לא יהודים מעצרים של בני 18 עד 24, ושיעור המעצרים בקבוצה זו עמד על 26.6 לאלף נפש, לעומת פחות מחמישה לאלף בקרב יהודים באותו גיל.</w:t>
      </w:r>
      <w:r>
        <w:rPr>
          <w:rStyle w:val="FootnoteReference"/>
        </w:rPr>
        <w:footnoteReference w:id="7"/>
      </w:r>
      <w:r>
        <w:rPr>
          <w:rFonts w:ascii="David" w:cs="David" w:eastAsia="David" w:hAnsi="David"/>
          <w:sz w:val="24"/>
          <w:szCs w:val="24"/>
          <w:rtl/>
        </w:rPr>
        <w:t xml:space="preserve"> הפער מלמד על מגע אינטנסיבי עם מערכת האכיפה, אך יש להבחין בין הסיווג המשטרתי "לא יהודים" לבין הקבוצה הערבית, ובין היקף המעצרים לבין היקף העבריינות. מחקרי ההערכה של אמו"ן השוו בין תחנות ובין אזורים, ולא אמדו את השפעתה על קבוצת גיל מסוימת.</w:t>
      </w:r>
      <w:r>
        <w:rPr>
          <w:rStyle w:val="FootnoteReference"/>
        </w:rPr>
        <w:footnoteReference w:id="8"/>
      </w:r>
      <w:r>
        <w:rPr>
          <w:rFonts w:ascii="David" w:cs="David" w:eastAsia="David" w:hAnsi="David"/>
          <w:sz w:val="24"/>
          <w:szCs w:val="24"/>
          <w:rtl/>
        </w:rPr>
        <w:t xml:space="preserve"> לכן העבודה אינה טוענת לקשר סיבתי, והקבוצה משמשת בה מקרה מבחן לבחינת התאמת המודל וקשיי יישומו.</w:t>
      </w:r>
    </w:p>
    <w:p>
      <w:pPr>
        <w:bidi/>
        <w:spacing w:after="120" w:line="360"/>
        <w:ind w:firstLine="0"/>
        <w:jc w:val="both"/>
      </w:pPr>
      <w:r>
        <w:rPr>
          <w:rFonts w:ascii="David" w:cs="David" w:eastAsia="David" w:hAnsi="David"/>
          <w:sz w:val="24"/>
          <w:szCs w:val="24"/>
          <w:rtl/>
        </w:rPr>
        <w:t xml:space="preserve">העבודה נשענת על ספרות קרימינולוגית ועל מטא-אנליזות של שיטור יזום, על מחקרי ההערכה של אמו"ן שערך המכון לקרימינולוגיה באוניברסיטה העברית, על דוחות מבקר המדינה ומסמכי מרכז המחקר והמידע של הכנסת, ועל חקיקה ופסיקה מישראל, מארצות הברית ומבריטניה. פרק 2 מגדיר ממדים של אפקטיביות ואת המסגרת המשפטית; פרק 3 מתאר את אמו"ן; פרק 4 מציג את מקרה המבחן; פרק 5 את ממצאי ההערכה; פרק 6 את המשפט המשווה; פרק 7 דן בשאלת המודל מול היישום; ופרק 8 מסכם.</w:t>
      </w:r>
    </w:p>
    <w:p>
      <w:pPr>
        <w:pStyle w:val="Heading1"/>
        <w:pageBreakBefore/>
        <w:bidi/>
        <w:spacing w:after="160" w:before="240"/>
        <w:jc w:val="center"/>
      </w:pPr>
      <w:r>
        <w:rPr>
          <w:rFonts w:ascii="David" w:cs="David" w:eastAsia="David" w:hAnsi="David"/>
          <w:b/>
          <w:bCs/>
          <w:sz w:val="32"/>
          <w:szCs w:val="32"/>
          <w:rtl/>
        </w:rPr>
        <w:t xml:space="preserve">2. אפקטיביות בשיטור: מסגרת מושגית ומשפטית</w:t>
      </w:r>
    </w:p>
    <w:p>
      <w:pPr>
        <w:pStyle w:val="Heading2"/>
        <w:bidi/>
        <w:spacing w:after="160" w:before="240"/>
        <w:jc w:val="right"/>
      </w:pPr>
      <w:r>
        <w:rPr>
          <w:rFonts w:ascii="David" w:cs="David" w:eastAsia="David" w:hAnsi="David"/>
          <w:b/>
          <w:bCs/>
          <w:sz w:val="28"/>
          <w:szCs w:val="28"/>
          <w:rtl/>
        </w:rPr>
        <w:t xml:space="preserve">2.1 ארבעה ממדים של אפקטיביות</w:t>
      </w:r>
    </w:p>
    <w:p>
      <w:pPr>
        <w:bidi/>
        <w:spacing w:after="120" w:line="360"/>
        <w:ind w:firstLine="0"/>
        <w:jc w:val="both"/>
      </w:pPr>
      <w:r>
        <w:rPr>
          <w:rFonts w:ascii="David" w:cs="David" w:eastAsia="David" w:hAnsi="David"/>
          <w:sz w:val="24"/>
          <w:szCs w:val="24"/>
          <w:rtl/>
        </w:rPr>
        <w:t xml:space="preserve">גולדשטיין טען שהמשטרה מעדיפה את האמצעים על פני המטרות, ומשקיעה בארגון ובשיטות העבודה יותר מאשר בתוצאות שהציבור מקבל.</w:t>
      </w:r>
      <w:r>
        <w:rPr>
          <w:rStyle w:val="FootnoteReference"/>
        </w:rPr>
        <w:footnoteReference w:id="9"/>
      </w:r>
      <w:r>
        <w:rPr>
          <w:rFonts w:ascii="David" w:cs="David" w:eastAsia="David" w:hAnsi="David"/>
          <w:sz w:val="24"/>
          <w:szCs w:val="24"/>
          <w:rtl/>
        </w:rPr>
        <w:t xml:space="preserve"> תחנה יכולה להגדיל את מספר הסיורים והמעצרים בלי לשנות דבר בתופעה שבה ביקשה לטפל. לכן הרפורמה תיבחן לפי ארבעה ממדים.</w:t>
      </w:r>
    </w:p>
    <w:p>
      <w:pPr>
        <w:bidi/>
        <w:spacing w:after="120" w:line="360"/>
        <w:ind w:firstLine="0"/>
        <w:jc w:val="both"/>
      </w:pPr>
      <w:r>
        <w:rPr>
          <w:rFonts w:ascii="David" w:cs="David" w:eastAsia="David" w:hAnsi="David"/>
          <w:sz w:val="24"/>
          <w:szCs w:val="24"/>
          <w:rtl/>
        </w:rPr>
        <w:t xml:space="preserve">הממד הראשון הוא הפחתה בפועל של פשיעה ושל פגיעה בקורבנות. הממד השני הוא איכות האכיפה, כלומר היכולת להשלים חקירות ולהביא לדין; מבקר המדינה קשר את הקשיים בחקירה לשיעור הנמוך של כתבי אישום בעבירות ירי.</w:t>
      </w:r>
      <w:r>
        <w:rPr>
          <w:rStyle w:val="FootnoteReference"/>
        </w:rPr>
        <w:footnoteReference w:id="10"/>
      </w:r>
      <w:r>
        <w:rPr>
          <w:rFonts w:ascii="David" w:cs="David" w:eastAsia="David" w:hAnsi="David"/>
          <w:sz w:val="24"/>
          <w:szCs w:val="24"/>
          <w:rtl/>
        </w:rPr>
        <w:t xml:space="preserve"> הממד השלישי הוא אמון ולגיטימיות. סאנשיין וטיילר מצאו שהלגיטימיות קשורה לציות ולסיוע למשטרה, ושהיא נשענת בעיקר על הוגנות הפעלת הסמכות,</w:t>
      </w:r>
      <w:r>
        <w:rPr>
          <w:rStyle w:val="FootnoteReference"/>
        </w:rPr>
        <w:footnoteReference w:id="11"/>
      </w:r>
      <w:r>
        <w:rPr>
          <w:rFonts w:ascii="David" w:cs="David" w:eastAsia="David" w:hAnsi="David"/>
          <w:sz w:val="24"/>
          <w:szCs w:val="24"/>
          <w:rtl/>
        </w:rPr>
        <w:t xml:space="preserve"> ובעניין </w:t>
      </w:r>
      <w:r>
        <w:rPr>
          <w:rFonts w:ascii="David" w:cs="David" w:eastAsia="David" w:hAnsi="David"/>
          <w:b/>
          <w:bCs/>
          <w:sz w:val="24"/>
          <w:szCs w:val="24"/>
          <w:rtl/>
        </w:rPr>
        <w:t xml:space="preserve">סויסא</w:t>
      </w:r>
      <w:r>
        <w:rPr>
          <w:rFonts w:ascii="David" w:cs="David" w:eastAsia="David" w:hAnsi="David"/>
          <w:sz w:val="24"/>
          <w:szCs w:val="24"/>
          <w:rtl/>
        </w:rPr>
        <w:t xml:space="preserve"> נקבע שבלי יחסי אמון עם הקהילה המשטרה לא תוכל למלא את משימותיה.</w:t>
      </w:r>
      <w:r>
        <w:rPr>
          <w:rStyle w:val="FootnoteReference"/>
        </w:rPr>
        <w:footnoteReference w:id="12"/>
      </w:r>
      <w:r>
        <w:rPr>
          <w:rFonts w:ascii="David" w:cs="David" w:eastAsia="David" w:hAnsi="David"/>
          <w:sz w:val="24"/>
          <w:szCs w:val="24"/>
          <w:rtl/>
        </w:rPr>
        <w:t xml:space="preserve"> הממד הרביעי הוא שוויון, ובעניין </w:t>
      </w:r>
      <w:r>
        <w:rPr>
          <w:rFonts w:ascii="David" w:cs="David" w:eastAsia="David" w:hAnsi="David"/>
          <w:b/>
          <w:bCs/>
          <w:sz w:val="24"/>
          <w:szCs w:val="24"/>
          <w:rtl/>
        </w:rPr>
        <w:t xml:space="preserve">טבקה</w:t>
      </w:r>
      <w:r>
        <w:rPr>
          <w:rFonts w:ascii="David" w:cs="David" w:eastAsia="David" w:hAnsi="David"/>
          <w:sz w:val="24"/>
          <w:szCs w:val="24"/>
          <w:rtl/>
        </w:rPr>
        <w:t xml:space="preserve"> עמד בית המשפט על הקשר בין היעדר אמות מידה ברורות להפעלת סמכות לבין הפליה של מיעוטים.</w:t>
      </w:r>
      <w:r>
        <w:rPr>
          <w:rStyle w:val="FootnoteReference"/>
        </w:rPr>
        <w:footnoteReference w:id="13"/>
      </w:r>
    </w:p>
    <w:p>
      <w:pPr>
        <w:bidi/>
        <w:spacing w:after="120" w:line="360"/>
        <w:ind w:firstLine="0"/>
        <w:jc w:val="both"/>
      </w:pPr>
      <w:r>
        <w:rPr>
          <w:rFonts w:ascii="David" w:cs="David" w:eastAsia="David" w:hAnsi="David"/>
          <w:sz w:val="24"/>
          <w:szCs w:val="24"/>
          <w:rtl/>
        </w:rPr>
        <w:t xml:space="preserve">הממדים אינם נעים תמיד יחד. ועדת האקדמיות הלאומיות האמריקאיות מצאה ששיטור נקודות חמות מפחית פשיעה בטווח הקצר, אך בהתערבויות ממוקדות אנשים נמצא קשר שלילי בין החשיפה לבין יחס הנחשפים למשטרה.</w:t>
      </w:r>
      <w:r>
        <w:rPr>
          <w:rStyle w:val="FootnoteReference"/>
        </w:rPr>
        <w:footnoteReference w:id="14"/>
      </w:r>
      <w:r>
        <w:rPr>
          <w:rFonts w:ascii="David" w:cs="David" w:eastAsia="David" w:hAnsi="David"/>
          <w:sz w:val="24"/>
          <w:szCs w:val="24"/>
          <w:rtl/>
        </w:rPr>
        <w:t xml:space="preserve"> הוועדה הדגישה גם שאסטרטגיות יזומות עלולות לשחוק ערכים כמו פרטיות, שוויון ואחריותיות, ושהמחקר כמעט אינו בודק זאת.</w:t>
      </w:r>
      <w:r>
        <w:rPr>
          <w:rStyle w:val="FootnoteReference"/>
        </w:rPr>
        <w:footnoteReference w:id="15"/>
      </w:r>
      <w:r>
        <w:rPr>
          <w:rFonts w:ascii="David" w:cs="David" w:eastAsia="David" w:hAnsi="David"/>
          <w:sz w:val="24"/>
          <w:szCs w:val="24"/>
          <w:rtl/>
        </w:rPr>
        <w:t xml:space="preserve"> לכן טענה להצלחה צריכה לציין באיזה ממד מדובר ומה קרה בממדים האחרים.</w:t>
      </w:r>
    </w:p>
    <w:p>
      <w:pPr>
        <w:pStyle w:val="Heading2"/>
        <w:bidi/>
        <w:spacing w:after="160" w:before="240"/>
        <w:jc w:val="right"/>
      </w:pPr>
      <w:r>
        <w:rPr>
          <w:rFonts w:ascii="David" w:cs="David" w:eastAsia="David" w:hAnsi="David"/>
          <w:b/>
          <w:bCs/>
          <w:sz w:val="28"/>
          <w:szCs w:val="28"/>
          <w:rtl/>
        </w:rPr>
        <w:t xml:space="preserve">2.2 שיטור מוכוון בעיות ומשפחת השיטור היזום</w:t>
      </w:r>
    </w:p>
    <w:p>
      <w:pPr>
        <w:bidi/>
        <w:spacing w:after="120" w:line="360"/>
        <w:ind w:firstLine="0"/>
        <w:jc w:val="both"/>
      </w:pPr>
      <w:r>
        <w:rPr>
          <w:rFonts w:ascii="David" w:cs="David" w:eastAsia="David" w:hAnsi="David"/>
          <w:sz w:val="24"/>
          <w:szCs w:val="24"/>
          <w:rtl/>
        </w:rPr>
        <w:t xml:space="preserve">גולדשטיין הציע לחייב את המשטרה להגדיר במדויק את הבעיות שהציבור מצפה שתטפל בהן, לבדוק את התגובה הקיימת ולשקול חלופות.</w:t>
      </w:r>
      <w:r>
        <w:rPr>
          <w:rStyle w:val="FootnoteReference"/>
        </w:rPr>
        <w:footnoteReference w:id="16"/>
      </w:r>
      <w:r>
        <w:rPr>
          <w:rFonts w:ascii="David" w:cs="David" w:eastAsia="David" w:hAnsi="David"/>
          <w:sz w:val="24"/>
          <w:szCs w:val="24"/>
          <w:rtl/>
        </w:rPr>
        <w:t xml:space="preserve"> אק וספלמן תרגמו זאת לארבעה שלבים: סריקה, ניתוח, תגובה והערכה (</w:t>
      </w:r>
      <w:r>
        <w:rPr>
          <w:rFonts w:ascii="David" w:cs="David" w:eastAsia="David" w:hAnsi="David"/>
          <w:sz w:val="24"/>
          <w:szCs w:val="24"/>
          <w:rtl w:val="false"/>
        </w:rPr>
        <w:t xml:space="preserve">SARA).‎</w:t>
      </w:r>
      <w:r>
        <w:rPr>
          <w:rStyle w:val="FootnoteReference"/>
        </w:rPr>
        <w:footnoteReference w:id="17"/>
      </w:r>
      <w:r>
        <w:rPr>
          <w:rFonts w:ascii="David" w:cs="David" w:eastAsia="David" w:hAnsi="David"/>
          <w:sz w:val="24"/>
          <w:szCs w:val="24"/>
          <w:rtl/>
        </w:rPr>
        <w:t xml:space="preserve"> מטא-אנליזה של 34 מחקרים מצאה ירידה מובהקת של כ-34% בפשיעה ובאי-סדר, ונטייה לפיזור התועלת לאזורים סמוכים יותר מאשר להתקת הפשיעה. במחקרים הקפדניים היה האפקט קטן יותר, והסקירה מציינת שלעיתים קרובות מיושמות גרסאות מדוללות של המודל.</w:t>
      </w:r>
      <w:r>
        <w:rPr>
          <w:rStyle w:val="FootnoteReference"/>
        </w:rPr>
        <w:footnoteReference w:id="18"/>
      </w:r>
    </w:p>
    <w:p>
      <w:pPr>
        <w:bidi/>
        <w:spacing w:after="120" w:line="360"/>
        <w:ind w:firstLine="0"/>
        <w:jc w:val="both"/>
      </w:pPr>
      <w:r>
        <w:rPr>
          <w:rFonts w:ascii="David" w:cs="David" w:eastAsia="David" w:hAnsi="David"/>
          <w:sz w:val="24"/>
          <w:szCs w:val="24"/>
          <w:rtl/>
        </w:rPr>
        <w:t xml:space="preserve">שיטור מוכוון בעיות הוא אחת מארבע גישות של "שיטור יזום", לצד גישות ממוקדות מקום, ממוקדות אנשים וקהילתיות.</w:t>
      </w:r>
      <w:r>
        <w:rPr>
          <w:rStyle w:val="FootnoteReference"/>
        </w:rPr>
        <w:footnoteReference w:id="19"/>
      </w:r>
      <w:r>
        <w:rPr>
          <w:rFonts w:ascii="David" w:cs="David" w:eastAsia="David" w:hAnsi="David"/>
          <w:sz w:val="24"/>
          <w:szCs w:val="24"/>
          <w:rtl/>
        </w:rPr>
        <w:t xml:space="preserve"> שיטור נקודות חמות נמצא מפחית פשיעה באזורי היעד,</w:t>
      </w:r>
      <w:r>
        <w:rPr>
          <w:rStyle w:val="FootnoteReference"/>
        </w:rPr>
        <w:footnoteReference w:id="20"/>
      </w:r>
      <w:r>
        <w:rPr>
          <w:rFonts w:ascii="David" w:cs="David" w:eastAsia="David" w:hAnsi="David"/>
          <w:sz w:val="24"/>
          <w:szCs w:val="24"/>
          <w:rtl/>
        </w:rPr>
        <w:t xml:space="preserve"> ובסקירה מאוחרת נאמדה ירידה של כ-17%.</w:t>
      </w:r>
      <w:r>
        <w:rPr>
          <w:rStyle w:val="FootnoteReference"/>
        </w:rPr>
        <w:footnoteReference w:id="21"/>
      </w:r>
      <w:r>
        <w:rPr>
          <w:rFonts w:ascii="David" w:cs="David" w:eastAsia="David" w:hAnsi="David"/>
          <w:sz w:val="24"/>
          <w:szCs w:val="24"/>
          <w:rtl/>
        </w:rPr>
        <w:t xml:space="preserve"> הרתעה ממוקדת, שמשלבת אכיפה מול קבוצה קטנה של עבריינים פעילים עם מעורבות הקהילה ושירותים חברתיים, הראתה אפקט מתון ומובהק, גדול יותר מול כנופיות.</w:t>
      </w:r>
      <w:r>
        <w:rPr>
          <w:rStyle w:val="FootnoteReference"/>
        </w:rPr>
        <w:footnoteReference w:id="22"/>
      </w:r>
      <w:r>
        <w:rPr>
          <w:rFonts w:ascii="David" w:cs="David" w:eastAsia="David" w:hAnsi="David"/>
          <w:sz w:val="24"/>
          <w:szCs w:val="24"/>
          <w:rtl/>
        </w:rPr>
        <w:t xml:space="preserve"> המדריך המקצועי מתאר שישה שלבים, ובהם מפגש התרעה ואכיפה לצד שירותים,</w:t>
      </w:r>
      <w:r>
        <w:rPr>
          <w:rStyle w:val="FootnoteReference"/>
        </w:rPr>
        <w:footnoteReference w:id="23"/>
      </w:r>
      <w:r>
        <w:rPr>
          <w:rFonts w:ascii="David" w:cs="David" w:eastAsia="David" w:hAnsi="David"/>
          <w:sz w:val="24"/>
          <w:szCs w:val="24"/>
          <w:rtl/>
        </w:rPr>
        <w:t xml:space="preserve"> ולכן הפעלת רכיב האכיפה לבדו אינה צפויה להשיג את אותן תוצאות.</w:t>
      </w:r>
    </w:p>
    <w:p>
      <w:pPr>
        <w:bidi/>
        <w:spacing w:after="120" w:line="360"/>
        <w:ind w:firstLine="0"/>
        <w:jc w:val="both"/>
      </w:pPr>
      <w:r>
        <w:rPr>
          <w:rFonts w:ascii="David" w:cs="David" w:eastAsia="David" w:hAnsi="David"/>
          <w:sz w:val="24"/>
          <w:szCs w:val="24"/>
          <w:rtl/>
        </w:rPr>
        <w:t xml:space="preserve">המשותף לגישות הוא המיקוד, וזו גם נקודת התורפה שלהן. לפי ועדת האקדמיות הלאומיות, מיקוד באנשים או במקומות בסיכון גבוה צפוי ליצור פערים גזעיים גדולים בהיקף המפגשים ובאופיים.</w:t>
      </w:r>
      <w:r>
        <w:rPr>
          <w:rStyle w:val="FootnoteReference"/>
        </w:rPr>
        <w:footnoteReference w:id="24"/>
      </w:r>
      <w:r>
        <w:rPr>
          <w:rFonts w:ascii="David" w:cs="David" w:eastAsia="David" w:hAnsi="David"/>
          <w:sz w:val="24"/>
          <w:szCs w:val="24"/>
          <w:rtl/>
        </w:rPr>
        <w:t xml:space="preserve"> פער כזה אינו הוכחה לאפליה, אך הוא מחייב לבדוק את אמות המידה לבחירת היעדים. בהתערבויות של פתרון בעיות כמעט לא נמצאו השפעות שליליות על עמדות הציבור,</w:t>
      </w:r>
      <w:r>
        <w:rPr>
          <w:rStyle w:val="FootnoteReference"/>
        </w:rPr>
        <w:footnoteReference w:id="25"/>
      </w:r>
      <w:r>
        <w:rPr>
          <w:rFonts w:ascii="David" w:cs="David" w:eastAsia="David" w:hAnsi="David"/>
          <w:sz w:val="24"/>
          <w:szCs w:val="24"/>
          <w:rtl/>
        </w:rPr>
        <w:t xml:space="preserve"> ולכן הסיכון נקבע לפי הפעולות שבתוכנית, ולא לפי שמה.</w:t>
      </w:r>
    </w:p>
    <w:p>
      <w:pPr>
        <w:pStyle w:val="Heading2"/>
        <w:bidi/>
        <w:spacing w:after="160" w:before="240"/>
        <w:jc w:val="right"/>
      </w:pPr>
      <w:r>
        <w:rPr>
          <w:rFonts w:ascii="David" w:cs="David" w:eastAsia="David" w:hAnsi="David"/>
          <w:b/>
          <w:bCs/>
          <w:sz w:val="28"/>
          <w:szCs w:val="28"/>
          <w:rtl/>
        </w:rPr>
        <w:t xml:space="preserve">2.3 שיטור יתר, שיטור חסר והוגנות ההליכים</w:t>
      </w:r>
    </w:p>
    <w:p>
      <w:pPr>
        <w:bidi/>
        <w:spacing w:after="120" w:line="360"/>
        <w:ind w:firstLine="0"/>
        <w:jc w:val="both"/>
      </w:pPr>
      <w:r>
        <w:rPr>
          <w:rFonts w:ascii="David" w:cs="David" w:eastAsia="David" w:hAnsi="David"/>
          <w:sz w:val="24"/>
          <w:szCs w:val="24"/>
          <w:rtl/>
        </w:rPr>
        <w:t xml:space="preserve">נטפוף מציבה מול הפללת היתר את תופעת אכיפת החסר, הכשל השיטתי בהגנה על קהילות שלמות, ומראה ששתיהן יכולות להתקיים באותה אוכלוסייה.</w:t>
      </w:r>
      <w:r>
        <w:rPr>
          <w:rStyle w:val="FootnoteReference"/>
        </w:rPr>
        <w:footnoteReference w:id="26"/>
      </w:r>
      <w:r>
        <w:rPr>
          <w:rFonts w:ascii="David" w:cs="David" w:eastAsia="David" w:hAnsi="David"/>
          <w:sz w:val="24"/>
          <w:szCs w:val="24"/>
          <w:rtl/>
        </w:rPr>
        <w:t xml:space="preserve"> חסייסי וליטמנוביץ מתארים דפוס דומה בישראל: בני המיעוט חווים שיטור מופרז כחשודים ושיטור חסר כקורבנות, והדבר עלול לעורר ניכור ולפגוע בשיתוף הפעולה.</w:t>
      </w:r>
      <w:r>
        <w:rPr>
          <w:rStyle w:val="FootnoteReference"/>
        </w:rPr>
        <w:footnoteReference w:id="27"/>
      </w:r>
      <w:r>
        <w:rPr>
          <w:rFonts w:ascii="David" w:cs="David" w:eastAsia="David" w:hAnsi="David"/>
          <w:sz w:val="24"/>
          <w:szCs w:val="24"/>
          <w:rtl/>
        </w:rPr>
        <w:t xml:space="preserve"> במקום שבו הסדר החוקי נחלש מתחזקים מנגנונים מסורתיים ודרכים לעשיית סדר מחוץ לחוק.</w:t>
      </w:r>
      <w:r>
        <w:rPr>
          <w:rStyle w:val="FootnoteReference"/>
        </w:rPr>
        <w:footnoteReference w:id="28"/>
      </w:r>
    </w:p>
    <w:p>
      <w:pPr>
        <w:bidi/>
        <w:spacing w:after="120" w:line="360"/>
        <w:ind w:firstLine="0"/>
        <w:jc w:val="both"/>
      </w:pPr>
      <w:r>
        <w:rPr>
          <w:rFonts w:ascii="David" w:cs="David" w:eastAsia="David" w:hAnsi="David"/>
          <w:sz w:val="24"/>
          <w:szCs w:val="24"/>
          <w:rtl/>
        </w:rPr>
        <w:t xml:space="preserve">בל מתארת "ניכור משפטי": תחושה שהחוק פועל להוציא קבוצות מן החברה, והיא רואה בתיאוריית הלגיטימיות אבחנה חלקית שממעיטה במרכיבים המבניים.</w:t>
      </w:r>
      <w:r>
        <w:rPr>
          <w:rStyle w:val="FootnoteReference"/>
        </w:rPr>
        <w:footnoteReference w:id="29"/>
      </w:r>
      <w:r>
        <w:rPr>
          <w:rFonts w:ascii="David" w:cs="David" w:eastAsia="David" w:hAnsi="David"/>
          <w:sz w:val="24"/>
          <w:szCs w:val="24"/>
          <w:rtl/>
        </w:rPr>
        <w:t xml:space="preserve"> ההבחנה מעשית: אם הבעיה היא לגיטימיות, הפתרון הוא שיפור המפגש; אם הבעיה היא ניכור, נדרש שינוי בהיקף ההגנה ובפיקוח.</w:t>
      </w:r>
    </w:p>
    <w:p>
      <w:pPr>
        <w:bidi/>
        <w:spacing w:after="120" w:line="360"/>
        <w:ind w:firstLine="0"/>
        <w:jc w:val="both"/>
      </w:pPr>
      <w:r>
        <w:rPr>
          <w:rFonts w:ascii="David" w:cs="David" w:eastAsia="David" w:hAnsi="David"/>
          <w:sz w:val="24"/>
          <w:szCs w:val="24"/>
          <w:rtl/>
        </w:rPr>
        <w:t xml:space="preserve">גישת הוגנות ההליכים מדגישה את האופן שבו מופעלת הסמכות. סאנשיין וטיילר מצאו שהוגנות ההליכים היא המנבא המרכזי של הלגיטימיות,</w:t>
      </w:r>
      <w:r>
        <w:rPr>
          <w:rStyle w:val="FootnoteReference"/>
        </w:rPr>
        <w:footnoteReference w:id="30"/>
      </w:r>
      <w:r>
        <w:rPr>
          <w:rFonts w:ascii="David" w:cs="David" w:eastAsia="David" w:hAnsi="David"/>
          <w:sz w:val="24"/>
          <w:szCs w:val="24"/>
          <w:rtl/>
        </w:rPr>
        <w:t xml:space="preserve"> וטיילר, גוף ומקון הראו שהירידה בפשיעה בארצות הברית לא הביאה לעלייה מקבילה בלגיטימיות המשטרה.</w:t>
      </w:r>
      <w:r>
        <w:rPr>
          <w:rStyle w:val="FootnoteReference"/>
        </w:rPr>
        <w:footnoteReference w:id="31"/>
      </w:r>
      <w:r>
        <w:rPr>
          <w:rFonts w:ascii="David" w:cs="David" w:eastAsia="David" w:hAnsi="David"/>
          <w:sz w:val="24"/>
          <w:szCs w:val="24"/>
          <w:rtl/>
        </w:rPr>
        <w:t xml:space="preserve"> סקוגן מצא שמפגש שלילי משפיע על העמדות הרבה יותר ממפגש חיובי,</w:t>
      </w:r>
      <w:r>
        <w:rPr>
          <w:rStyle w:val="FootnoteReference"/>
        </w:rPr>
        <w:footnoteReference w:id="32"/>
      </w:r>
      <w:r>
        <w:rPr>
          <w:rFonts w:ascii="David" w:cs="David" w:eastAsia="David" w:hAnsi="David"/>
          <w:sz w:val="24"/>
          <w:szCs w:val="24"/>
          <w:rtl/>
        </w:rPr>
        <w:t xml:space="preserve"> ובמילווקי, לאחר פרסום מקרה של אלימות שוטרים, נאמד הפער בקריאות למוקד בכ-22,200 קריאות.</w:t>
      </w:r>
      <w:r>
        <w:rPr>
          <w:rStyle w:val="FootnoteReference"/>
        </w:rPr>
        <w:footnoteReference w:id="33"/>
      </w:r>
      <w:r>
        <w:rPr>
          <w:rFonts w:ascii="David" w:cs="David" w:eastAsia="David" w:hAnsi="David"/>
          <w:sz w:val="24"/>
          <w:szCs w:val="24"/>
          <w:rtl/>
        </w:rPr>
        <w:t xml:space="preserve"> כשהדיווח נשחק, נפגע בסיס המידע של כל מודל שמזהה בעיות מקומיות.</w:t>
      </w:r>
    </w:p>
    <w:p>
      <w:pPr>
        <w:pStyle w:val="Heading2"/>
        <w:bidi/>
        <w:spacing w:after="160" w:before="240"/>
        <w:jc w:val="right"/>
      </w:pPr>
      <w:r>
        <w:rPr>
          <w:rFonts w:ascii="David" w:cs="David" w:eastAsia="David" w:hAnsi="David"/>
          <w:b/>
          <w:bCs/>
          <w:sz w:val="28"/>
          <w:szCs w:val="28"/>
          <w:rtl/>
        </w:rPr>
        <w:t xml:space="preserve">2.4 סמכות, שיקול דעת, שוויון ומידתיות באכיפה</w:t>
      </w:r>
    </w:p>
    <w:p>
      <w:pPr>
        <w:bidi/>
        <w:spacing w:after="120" w:line="360"/>
        <w:ind w:firstLine="0"/>
        <w:jc w:val="both"/>
      </w:pPr>
      <w:r>
        <w:rPr>
          <w:rFonts w:ascii="David" w:cs="David" w:eastAsia="David" w:hAnsi="David"/>
          <w:sz w:val="24"/>
          <w:szCs w:val="24"/>
          <w:rtl/>
        </w:rPr>
        <w:t xml:space="preserve">בעניין </w:t>
      </w:r>
      <w:r>
        <w:rPr>
          <w:rFonts w:ascii="David" w:cs="David" w:eastAsia="David" w:hAnsi="David"/>
          <w:b/>
          <w:bCs/>
          <w:sz w:val="24"/>
          <w:szCs w:val="24"/>
          <w:rtl/>
        </w:rPr>
        <w:t xml:space="preserve">מוסא</w:t>
      </w:r>
      <w:r>
        <w:rPr>
          <w:rFonts w:ascii="David" w:cs="David" w:eastAsia="David" w:hAnsi="David"/>
          <w:sz w:val="24"/>
          <w:szCs w:val="24"/>
          <w:rtl/>
        </w:rPr>
        <w:t xml:space="preserve"> נקבע ש"אין למשטרה כוחות, אלא עד כמה שאלה הוענקו לה בחוק".</w:t>
      </w:r>
      <w:r>
        <w:rPr>
          <w:rStyle w:val="FootnoteReference"/>
        </w:rPr>
        <w:footnoteReference w:id="34"/>
      </w:r>
      <w:r>
        <w:rPr>
          <w:rFonts w:ascii="David" w:cs="David" w:eastAsia="David" w:hAnsi="David"/>
          <w:sz w:val="24"/>
          <w:szCs w:val="24"/>
          <w:rtl/>
        </w:rPr>
        <w:t xml:space="preserve"> בעניין </w:t>
      </w:r>
      <w:r>
        <w:rPr>
          <w:rFonts w:ascii="David" w:cs="David" w:eastAsia="David" w:hAnsi="David"/>
          <w:b/>
          <w:bCs/>
          <w:sz w:val="24"/>
          <w:szCs w:val="24"/>
          <w:rtl/>
        </w:rPr>
        <w:t xml:space="preserve">טבקה</w:t>
      </w:r>
      <w:r>
        <w:rPr>
          <w:rFonts w:ascii="David" w:cs="David" w:eastAsia="David" w:hAnsi="David"/>
          <w:sz w:val="24"/>
          <w:szCs w:val="24"/>
          <w:rtl/>
        </w:rPr>
        <w:t xml:space="preserve"> נקבע שדרישת הזדהות לפי חוק החזקת תעודת זהות אינה מותנית בחשד סביר, אך מחייבת זיקה עניינית לפרטי התעודה, ואינה מתירה "מסע דיג" או פעולות שיטור נוספות בלי חשד.</w:t>
      </w:r>
      <w:r>
        <w:rPr>
          <w:rStyle w:val="FootnoteReference"/>
        </w:rPr>
        <w:footnoteReference w:id="35"/>
      </w:r>
      <w:r>
        <w:rPr>
          <w:rFonts w:ascii="David" w:cs="David" w:eastAsia="David" w:hAnsi="David"/>
          <w:sz w:val="24"/>
          <w:szCs w:val="24"/>
          <w:rtl/>
        </w:rPr>
        <w:t xml:space="preserve"> בית המשפט ציין שהסמכות הופעלה שנים בלי אמות מידה גלויות, ושממצאי ועדת פלמור הצביעו על שימוש סלקטיבי שהוביל להפליה גם בלי כוונה. לפי חוות דעת שהוגשה, נהלים מפורטים ותבחינים ברורים שיפרו את יעילות המשטרה וצמצמו שימוש בסטריאוטיפים.</w:t>
      </w:r>
      <w:r>
        <w:rPr>
          <w:rStyle w:val="FootnoteReference"/>
        </w:rPr>
        <w:footnoteReference w:id="36"/>
      </w:r>
    </w:p>
    <w:p>
      <w:pPr>
        <w:bidi/>
        <w:spacing w:after="120" w:line="360"/>
        <w:ind w:firstLine="0"/>
        <w:jc w:val="both"/>
      </w:pPr>
      <w:r>
        <w:rPr>
          <w:rFonts w:ascii="David" w:cs="David" w:eastAsia="David" w:hAnsi="David"/>
          <w:sz w:val="24"/>
          <w:szCs w:val="24"/>
          <w:rtl/>
        </w:rPr>
        <w:t xml:space="preserve">פקודת המשטרה מגדירה את תפקידי המשטרה,</w:t>
      </w:r>
      <w:r>
        <w:rPr>
          <w:rStyle w:val="FootnoteReference"/>
        </w:rPr>
        <w:footnoteReference w:id="37"/>
      </w:r>
      <w:r>
        <w:rPr>
          <w:rFonts w:ascii="David" w:cs="David" w:eastAsia="David" w:hAnsi="David"/>
          <w:sz w:val="24"/>
          <w:szCs w:val="24"/>
          <w:rtl/>
        </w:rPr>
        <w:t xml:space="preserve"> אך תיאור תפקידים אינו מקור סמכות לפגיעה בזכויות.</w:t>
      </w:r>
      <w:r>
        <w:rPr>
          <w:rStyle w:val="FootnoteReference"/>
        </w:rPr>
        <w:footnoteReference w:id="38"/>
      </w:r>
      <w:r>
        <w:rPr>
          <w:rFonts w:ascii="David" w:cs="David" w:eastAsia="David" w:hAnsi="David"/>
          <w:sz w:val="24"/>
          <w:szCs w:val="24"/>
          <w:rtl/>
        </w:rPr>
        <w:t xml:space="preserve"> השופט שטיין ניסח זאת כך: "עולמן של סמכויות השררה הוא עולם של מילים מפורשות".</w:t>
      </w:r>
      <w:r>
        <w:rPr>
          <w:rStyle w:val="FootnoteReference"/>
        </w:rPr>
        <w:footnoteReference w:id="39"/>
      </w:r>
      <w:r>
        <w:rPr>
          <w:rFonts w:ascii="David" w:cs="David" w:eastAsia="David" w:hAnsi="David"/>
          <w:sz w:val="24"/>
          <w:szCs w:val="24"/>
          <w:rtl/>
        </w:rPr>
        <w:t xml:space="preserve"> לכן יעדים ארגוניים ותוכניות פעולה אינם מרחיבים את סמכויות השוטר. סמכויות העיכוב מוסדרות בחוק המעצרים,</w:t>
      </w:r>
      <w:r>
        <w:rPr>
          <w:rStyle w:val="FootnoteReference"/>
        </w:rPr>
        <w:footnoteReference w:id="40"/>
      </w:r>
      <w:r>
        <w:rPr>
          <w:rFonts w:ascii="David" w:cs="David" w:eastAsia="David" w:hAnsi="David"/>
          <w:sz w:val="24"/>
          <w:szCs w:val="24"/>
          <w:rtl/>
        </w:rPr>
        <w:t xml:space="preserve"> שמשקף איזון בין ביטחון הציבור לבין זכויות הפרט.</w:t>
      </w:r>
      <w:r>
        <w:rPr>
          <w:rStyle w:val="FootnoteReference"/>
        </w:rPr>
        <w:footnoteReference w:id="41"/>
      </w:r>
    </w:p>
    <w:p>
      <w:pPr>
        <w:bidi/>
        <w:spacing w:after="120" w:line="360"/>
        <w:ind w:firstLine="0"/>
        <w:jc w:val="both"/>
      </w:pPr>
      <w:r>
        <w:rPr>
          <w:rFonts w:ascii="David" w:cs="David" w:eastAsia="David" w:hAnsi="David"/>
          <w:sz w:val="24"/>
          <w:szCs w:val="24"/>
          <w:rtl/>
        </w:rPr>
        <w:t xml:space="preserve">חשד סביר נבחן במבחן אובייקטיבי, לפי נסיבות המפגש.</w:t>
      </w:r>
      <w:r>
        <w:rPr>
          <w:rStyle w:val="FootnoteReference"/>
        </w:rPr>
        <w:footnoteReference w:id="42"/>
      </w:r>
      <w:r>
        <w:rPr>
          <w:rFonts w:ascii="David" w:cs="David" w:eastAsia="David" w:hAnsi="David"/>
          <w:sz w:val="24"/>
          <w:szCs w:val="24"/>
          <w:rtl/>
        </w:rPr>
        <w:t xml:space="preserve"> תיאור חיצוני כללי אינו מקים סמכות עיכוב,</w:t>
      </w:r>
      <w:r>
        <w:rPr>
          <w:rStyle w:val="FootnoteReference"/>
        </w:rPr>
        <w:footnoteReference w:id="43"/>
      </w:r>
      <w:r>
        <w:rPr>
          <w:rFonts w:ascii="David" w:cs="David" w:eastAsia="David" w:hAnsi="David"/>
          <w:sz w:val="24"/>
          <w:szCs w:val="24"/>
          <w:rtl/>
        </w:rPr>
        <w:t xml:space="preserve"> וחיפוש ללא חשד פרטני מחייב הסמכה מפורשת, שעשויה "להגביר את הפיקוח על החלטות הרשות, לצמצם את החשש לפגיעה לא מידתית בזכויות, ולהבטיח כי יתקיים דיון ציבורי".</w:t>
      </w:r>
      <w:r>
        <w:rPr>
          <w:rStyle w:val="FootnoteReference"/>
        </w:rPr>
        <w:footnoteReference w:id="44"/>
      </w:r>
      <w:r>
        <w:rPr>
          <w:rFonts w:ascii="David" w:cs="David" w:eastAsia="David" w:hAnsi="David"/>
          <w:sz w:val="24"/>
          <w:szCs w:val="24"/>
          <w:rtl/>
        </w:rPr>
        <w:t xml:space="preserve"> לכן יש להבחין בין נוכחות באזור שהוגדר כמוקד פשיעה לבין בסיס פרטני לפעולה כלפי אדם. גם בחירת היעדים כפופה לדיני השוויון: מותרת אכיפה חלקית שנובעת ממגבלת משאבים, אך לא אכיפה בררנית שמבוססת על שיקול זר.</w:t>
      </w:r>
      <w:r>
        <w:rPr>
          <w:rStyle w:val="FootnoteReference"/>
        </w:rPr>
        <w:footnoteReference w:id="45"/>
      </w:r>
    </w:p>
    <w:p>
      <w:pPr>
        <w:bidi/>
        <w:spacing w:after="120" w:line="360"/>
        <w:ind w:firstLine="0"/>
        <w:jc w:val="both"/>
      </w:pPr>
      <w:r>
        <w:rPr>
          <w:rFonts w:ascii="David" w:cs="David" w:eastAsia="David" w:hAnsi="David"/>
          <w:sz w:val="24"/>
          <w:szCs w:val="24"/>
          <w:rtl/>
        </w:rPr>
        <w:t xml:space="preserve">דוח האקדמיות הלאומיות בחן את השיטור היזום בארבעה תחומים: חוקיות, פשיעה ואי-סדר, תגובות הקהילה והטיה גזעית.</w:t>
      </w:r>
      <w:r>
        <w:rPr>
          <w:rStyle w:val="FootnoteReference"/>
        </w:rPr>
        <w:footnoteReference w:id="46"/>
      </w:r>
      <w:r>
        <w:rPr>
          <w:rFonts w:ascii="David" w:cs="David" w:eastAsia="David" w:hAnsi="David"/>
          <w:sz w:val="24"/>
          <w:szCs w:val="24"/>
          <w:rtl/>
        </w:rPr>
        <w:t xml:space="preserve"> בדומה לכך, המידתיות נבחנת כאן בשתי רמות: במפגש הבודד, ובמדיניות שיוצרת את המפגשים. החלטה להגביר נוכחות באזור מסוים טעונה הצדקה כבר בשלב התכנון.</w:t>
      </w:r>
    </w:p>
    <w:p>
      <w:pPr>
        <w:pStyle w:val="Heading1"/>
        <w:pageBreakBefore/>
        <w:bidi/>
        <w:spacing w:after="160" w:before="240"/>
        <w:jc w:val="center"/>
      </w:pPr>
      <w:r>
        <w:rPr>
          <w:rFonts w:ascii="David" w:cs="David" w:eastAsia="David" w:hAnsi="David"/>
          <w:b/>
          <w:bCs/>
          <w:sz w:val="32"/>
          <w:szCs w:val="32"/>
          <w:rtl/>
        </w:rPr>
        <w:t xml:space="preserve">3. רפורמת אמו"ן: הרציונל, המבנה ומנגנוני הפעולה</w:t>
      </w:r>
    </w:p>
    <w:p>
      <w:pPr>
        <w:pStyle w:val="Heading2"/>
        <w:bidi/>
        <w:spacing w:after="160" w:before="240"/>
        <w:jc w:val="right"/>
      </w:pPr>
      <w:r>
        <w:rPr>
          <w:rFonts w:ascii="David" w:cs="David" w:eastAsia="David" w:hAnsi="David"/>
          <w:b/>
          <w:bCs/>
          <w:sz w:val="28"/>
          <w:szCs w:val="28"/>
          <w:rtl/>
        </w:rPr>
        <w:t xml:space="preserve">3.1 הרקע להקמת הרפורמה ומטרותיה</w:t>
      </w:r>
    </w:p>
    <w:p>
      <w:pPr>
        <w:bidi/>
        <w:spacing w:after="120" w:line="360"/>
        <w:ind w:firstLine="0"/>
        <w:jc w:val="both"/>
      </w:pPr>
      <w:r>
        <w:rPr>
          <w:rFonts w:ascii="David" w:cs="David" w:eastAsia="David" w:hAnsi="David"/>
          <w:sz w:val="24"/>
          <w:szCs w:val="24"/>
          <w:rtl/>
        </w:rPr>
        <w:t xml:space="preserve">אמו"ן הושקה בסוף שנת 2015 ושולבה בתוכניות העבודה של 2016. לפי מסמכי המשטרה, מטרתה למקד את הארגון בשירות ל"אזרח הנורמטיבי", מתוך תפיסה שמשטרה דמוקרטית אינה יכולה לפעול בלי אמון הציבור.</w:t>
      </w:r>
      <w:r>
        <w:rPr>
          <w:rStyle w:val="FootnoteReference"/>
        </w:rPr>
        <w:footnoteReference w:id="47"/>
      </w:r>
      <w:r>
        <w:rPr>
          <w:rFonts w:ascii="David" w:cs="David" w:eastAsia="David" w:hAnsi="David"/>
          <w:sz w:val="24"/>
          <w:szCs w:val="24"/>
          <w:rtl/>
        </w:rPr>
        <w:t xml:space="preserve"> האמון הוגדר אפוא כמטרה של הרפורמה, ולא כתוצר לוואי. המסמכים מבחינים בין שיטור קלאסי המבוסס על התחנה, שיטור גבוה המכוון על ידי מודיעין ושיטור חכם המבוסס על טכנולוגיה, ואמו"ן שייכת לראשון.</w:t>
      </w:r>
      <w:r>
        <w:rPr>
          <w:rStyle w:val="FootnoteReference"/>
        </w:rPr>
        <w:footnoteReference w:id="48"/>
      </w:r>
    </w:p>
    <w:p>
      <w:pPr>
        <w:bidi/>
        <w:spacing w:after="120" w:line="360"/>
        <w:ind w:firstLine="0"/>
        <w:jc w:val="both"/>
      </w:pPr>
      <w:r>
        <w:rPr>
          <w:rFonts w:ascii="David" w:cs="David" w:eastAsia="David" w:hAnsi="David"/>
          <w:sz w:val="24"/>
          <w:szCs w:val="24"/>
          <w:rtl/>
        </w:rPr>
        <w:t xml:space="preserve">התוכנית משלבת ארבע גישות שנמצאו אפקטיביות: שיטור מוכוון בעיות, שיטור ממוקד מקום, מניעה מצבית ושיטור קהילתי.</w:t>
      </w:r>
      <w:r>
        <w:rPr>
          <w:rStyle w:val="FootnoteReference"/>
        </w:rPr>
        <w:footnoteReference w:id="49"/>
      </w:r>
      <w:r>
        <w:rPr>
          <w:rFonts w:ascii="David" w:cs="David" w:eastAsia="David" w:hAnsi="David"/>
          <w:sz w:val="24"/>
          <w:szCs w:val="24"/>
          <w:rtl/>
        </w:rPr>
        <w:t xml:space="preserve"> ייחודה בניסיון למסד אותן בכל הארגון,</w:t>
      </w:r>
      <w:r>
        <w:rPr>
          <w:rStyle w:val="FootnoteReference"/>
        </w:rPr>
        <w:footnoteReference w:id="50"/>
      </w:r>
      <w:r>
        <w:rPr>
          <w:rFonts w:ascii="David" w:cs="David" w:eastAsia="David" w:hAnsi="David"/>
          <w:sz w:val="24"/>
          <w:szCs w:val="24"/>
          <w:rtl/>
        </w:rPr>
        <w:t xml:space="preserve"> והיא הוצגה כהמשך להתפתחות השיטור הקלאסי במשטרות מתקדמות.</w:t>
      </w:r>
      <w:r>
        <w:rPr>
          <w:rStyle w:val="FootnoteReference"/>
        </w:rPr>
        <w:footnoteReference w:id="51"/>
      </w:r>
      <w:r>
        <w:rPr>
          <w:rFonts w:ascii="David" w:cs="David" w:eastAsia="David" w:hAnsi="David"/>
          <w:sz w:val="24"/>
          <w:szCs w:val="24"/>
          <w:rtl/>
        </w:rPr>
        <w:t xml:space="preserve"> מכאן שיש לבחון אותה לפי אותם קריטריונים שלפיהם נבחנו התוכניות שעליהן היא נשענת. המונח "אזרח נורמטיבי" נשמע מובן מאליו, אך כשקהילה שלמה נתפסת כמקום שבו הפשיעה נפוצה, קל לטשטש בשטח את ההבחנה בין האזרח לבין סביבתו, ובמסמכים שנבחנו לא נמצא מנגנון ייעודי לשמירה עליה.</w:t>
      </w:r>
    </w:p>
    <w:p>
      <w:pPr>
        <w:pStyle w:val="Heading2"/>
        <w:bidi/>
        <w:spacing w:after="160" w:before="240"/>
        <w:jc w:val="right"/>
      </w:pPr>
      <w:r>
        <w:rPr>
          <w:rFonts w:ascii="David" w:cs="David" w:eastAsia="David" w:hAnsi="David"/>
          <w:b/>
          <w:bCs/>
          <w:sz w:val="28"/>
          <w:szCs w:val="28"/>
          <w:rtl/>
        </w:rPr>
        <w:t xml:space="preserve">3.2 איתור הבעיות, הסריקה והניתוח</w:t>
      </w:r>
    </w:p>
    <w:p>
      <w:pPr>
        <w:bidi/>
        <w:spacing w:after="120" w:line="360"/>
        <w:ind w:firstLine="0"/>
        <w:jc w:val="both"/>
      </w:pPr>
      <w:r>
        <w:rPr>
          <w:rFonts w:ascii="David" w:cs="David" w:eastAsia="David" w:hAnsi="David"/>
          <w:sz w:val="24"/>
          <w:szCs w:val="24"/>
          <w:rtl/>
        </w:rPr>
        <w:t xml:space="preserve">כל תחנה בוחרת שלוש בעיות, כלומר תופעות משמעותיות של פשיעה או הפרת סדר בגזרתה, ומקצה להן את עיקר משאביה.</w:t>
      </w:r>
      <w:r>
        <w:rPr>
          <w:rStyle w:val="FootnoteReference"/>
        </w:rPr>
        <w:footnoteReference w:id="52"/>
      </w:r>
      <w:r>
        <w:rPr>
          <w:rFonts w:ascii="David" w:cs="David" w:eastAsia="David" w:hAnsi="David"/>
          <w:sz w:val="24"/>
          <w:szCs w:val="24"/>
          <w:rtl/>
        </w:rPr>
        <w:t xml:space="preserve"> הבעיות נבחרות ברמה המקומית, והתחנה צריכה להראות בנתונים שהן מרוכזות באזור מוגדר, "פוליגון". בלי ניתוח כזה התוכנית לא אושרה. לשם כך פותחה מערכת מדידה שהייתה נגישה לכל השוטרים. לפחות אחת הבעיות נדרשה לשקף את עמדות התושבים כפי שנמדדו בסקר מקומי, והתחנות התבקשו לקיים שיח עם נבחרי הציבור.</w:t>
      </w:r>
      <w:r>
        <w:rPr>
          <w:rStyle w:val="FootnoteReference"/>
        </w:rPr>
        <w:footnoteReference w:id="53"/>
      </w:r>
    </w:p>
    <w:p>
      <w:pPr>
        <w:bidi/>
        <w:spacing w:after="120" w:line="360"/>
        <w:ind w:firstLine="0"/>
        <w:jc w:val="both"/>
      </w:pPr>
      <w:r>
        <w:rPr>
          <w:rFonts w:ascii="David" w:cs="David" w:eastAsia="David" w:hAnsi="David"/>
          <w:sz w:val="24"/>
          <w:szCs w:val="24"/>
          <w:rtl/>
        </w:rPr>
        <w:t xml:space="preserve">שלב הניתוח נועד להבטיח הבנה של הבעיה לפני בחירת הכלי, והוא מציב רף מקצועי גבוה.</w:t>
      </w:r>
      <w:r>
        <w:rPr>
          <w:rStyle w:val="FootnoteReference"/>
        </w:rPr>
        <w:footnoteReference w:id="54"/>
      </w:r>
      <w:r>
        <w:rPr>
          <w:rFonts w:ascii="David" w:cs="David" w:eastAsia="David" w:hAnsi="David"/>
          <w:sz w:val="24"/>
          <w:szCs w:val="24"/>
          <w:rtl/>
        </w:rPr>
        <w:t xml:space="preserve"> הדרישה לבסס בעיה בנתונים תלויה באיכות הנתונים. כשהם מלאים היא יוצרת מיקוד, וכשהם חסרים היא יוצרת עיוות, משום שהתחנה נדרשת לעמוד ברף מספרי בכלים שאין לה. פרק 5 יראה שזה המצב שנוצר בתחנות שמשרתות אוכלוסייה ערבית.</w:t>
      </w:r>
    </w:p>
    <w:p>
      <w:pPr>
        <w:pStyle w:val="Heading2"/>
        <w:bidi/>
        <w:spacing w:after="160" w:before="240"/>
        <w:jc w:val="right"/>
      </w:pPr>
      <w:r>
        <w:rPr>
          <w:rFonts w:ascii="David" w:cs="David" w:eastAsia="David" w:hAnsi="David"/>
          <w:b/>
          <w:bCs/>
          <w:sz w:val="28"/>
          <w:szCs w:val="28"/>
          <w:rtl/>
        </w:rPr>
        <w:t xml:space="preserve">3.3 תוכניות התקיפה, הקצאת המשאבים ושיתוף הגורמים המקומיים</w:t>
      </w:r>
    </w:p>
    <w:p>
      <w:pPr>
        <w:bidi/>
        <w:spacing w:after="120" w:line="360"/>
        <w:ind w:firstLine="0"/>
        <w:jc w:val="both"/>
      </w:pPr>
      <w:r>
        <w:rPr>
          <w:rFonts w:ascii="David" w:cs="David" w:eastAsia="David" w:hAnsi="David"/>
          <w:sz w:val="24"/>
          <w:szCs w:val="24"/>
          <w:rtl/>
        </w:rPr>
        <w:t xml:space="preserve">לכל בעיה נבנתה "תוכנית תקיפה". שליש מן הפעולות נדרשו להתבסס על מניעה מצבית, והמשאבים אוגמו משלושה מקורות: התחנה, המחוז וגורמים חיצוניים כמו הרשות המקומית. פתרונות של מניעה מצבית ושיתופי פעולה חיצוניים היו תנאי לאישור התוכנית, ולכל בעיה מונה קצין בכיר כמתאם.</w:t>
      </w:r>
      <w:r>
        <w:rPr>
          <w:rStyle w:val="FootnoteReference"/>
        </w:rPr>
        <w:footnoteReference w:id="55"/>
      </w:r>
      <w:r>
        <w:rPr>
          <w:rFonts w:ascii="David" w:cs="David" w:eastAsia="David" w:hAnsi="David"/>
          <w:sz w:val="24"/>
          <w:szCs w:val="24"/>
          <w:rtl/>
        </w:rPr>
        <w:t xml:space="preserve"> הדרישה מעבירה חלק מן האחריות להצלחה לגורמים שאינם כפופים למשטרה, ולכן תחנה שפועלת לצד רשות מקומית חלשה נמצאת בעמדת פתיחה נחותה.</w:t>
      </w:r>
    </w:p>
    <w:p>
      <w:pPr>
        <w:bidi/>
        <w:spacing w:after="120" w:line="360"/>
        <w:ind w:firstLine="0"/>
        <w:jc w:val="both"/>
      </w:pPr>
      <w:r>
        <w:rPr>
          <w:rFonts w:ascii="David" w:cs="David" w:eastAsia="David" w:hAnsi="David"/>
          <w:sz w:val="24"/>
          <w:szCs w:val="24"/>
          <w:rtl/>
        </w:rPr>
        <w:t xml:space="preserve">בחברה הערבית הקושי חריף. אלרן ועמיתיו מסבירים את הפשיעה האלימה בשילוב של מצב כלכלי קשה, פירוק המסגרת החמולתית, נשירה של צעירים ממסגרות חינוך ותעסוקה וזמינות של נשק בלתי חוקי.</w:t>
      </w:r>
      <w:r>
        <w:rPr>
          <w:rStyle w:val="FootnoteReference"/>
        </w:rPr>
        <w:footnoteReference w:id="56"/>
      </w:r>
      <w:r>
        <w:rPr>
          <w:rFonts w:ascii="David" w:cs="David" w:eastAsia="David" w:hAnsi="David"/>
          <w:sz w:val="24"/>
          <w:szCs w:val="24"/>
          <w:rtl/>
        </w:rPr>
        <w:t xml:space="preserve"> מודל שמניח רשת מוסדית מתפקדת פועל בתנאים קשים יותר דווקא במקום שבו הבעיה חמורה יותר. גם מניעה מצבית אינה פטורה מבחינה משפטית: מצלמות מעוררות שאלות של פרטיות, ובירנהק מראה שמערכות לזיהוי מספרי רכב הופעלו בלי הסדר מפורש בחוק.</w:t>
      </w:r>
      <w:r>
        <w:rPr>
          <w:rStyle w:val="FootnoteReference"/>
        </w:rPr>
        <w:footnoteReference w:id="57"/>
      </w:r>
    </w:p>
    <w:p>
      <w:pPr>
        <w:pStyle w:val="Heading2"/>
        <w:bidi/>
        <w:spacing w:after="160" w:before="240"/>
        <w:jc w:val="right"/>
      </w:pPr>
      <w:r>
        <w:rPr>
          <w:rFonts w:ascii="David" w:cs="David" w:eastAsia="David" w:hAnsi="David"/>
          <w:b/>
          <w:bCs/>
          <w:sz w:val="28"/>
          <w:szCs w:val="28"/>
          <w:rtl/>
        </w:rPr>
        <w:t xml:space="preserve">3.4 מדדי ההצלחה, מנגנון ההערכה והסיכונים המשפטיים</w:t>
      </w:r>
    </w:p>
    <w:p>
      <w:pPr>
        <w:bidi/>
        <w:spacing w:after="120" w:line="360"/>
        <w:ind w:firstLine="0"/>
        <w:jc w:val="both"/>
      </w:pPr>
      <w:r>
        <w:rPr>
          <w:rFonts w:ascii="David" w:cs="David" w:eastAsia="David" w:hAnsi="David"/>
          <w:sz w:val="24"/>
          <w:szCs w:val="24"/>
          <w:rtl/>
        </w:rPr>
        <w:t xml:space="preserve">כל תחנה נמדדה מול עצמה, וההצלחה הוגדרה כמניעת פשיעה.</w:t>
      </w:r>
      <w:r>
        <w:rPr>
          <w:rStyle w:val="FootnoteReference"/>
        </w:rPr>
        <w:footnoteReference w:id="58"/>
      </w:r>
      <w:r>
        <w:rPr>
          <w:rFonts w:ascii="David" w:cs="David" w:eastAsia="David" w:hAnsi="David"/>
          <w:sz w:val="24"/>
          <w:szCs w:val="24"/>
          <w:rtl/>
        </w:rPr>
        <w:t xml:space="preserve"> המערכת הציגה את נתוני הפשיעה בתוך הפוליגון ומחוצה לו, לצד ציון על ביצוע תוכנית התקיפה. תחנות יכלו ללמוד זו מזו, ומפקד שמדדיו נמוכים התבקש לבדוק אם הבעיה בתוכנית או ביישומה.</w:t>
      </w:r>
      <w:r>
        <w:rPr>
          <w:rStyle w:val="FootnoteReference"/>
        </w:rPr>
        <w:footnoteReference w:id="59"/>
      </w:r>
    </w:p>
    <w:p>
      <w:pPr>
        <w:bidi/>
        <w:spacing w:after="120" w:line="360"/>
        <w:ind w:firstLine="0"/>
        <w:jc w:val="both"/>
      </w:pPr>
      <w:r>
        <w:rPr>
          <w:rFonts w:ascii="David" w:cs="David" w:eastAsia="David" w:hAnsi="David"/>
          <w:sz w:val="24"/>
          <w:szCs w:val="24"/>
          <w:rtl/>
        </w:rPr>
        <w:t xml:space="preserve">למנגנון יש סיכון מובנה: יעד מספרי משנה את התנהגות העובדים. מתוך הארגון עלתה ביקורת שלפיה תוכניות התקיפה הפכו למטרה בפני עצמה,</w:t>
      </w:r>
      <w:r>
        <w:rPr>
          <w:rStyle w:val="FootnoteReference"/>
        </w:rPr>
        <w:footnoteReference w:id="60"/>
      </w:r>
      <w:r>
        <w:rPr>
          <w:rFonts w:ascii="David" w:cs="David" w:eastAsia="David" w:hAnsi="David"/>
          <w:sz w:val="24"/>
          <w:szCs w:val="24"/>
          <w:rtl/>
        </w:rPr>
        <w:t xml:space="preserve"> כלומר אותה העדפה של אמצעים על פני מטרות שהמודל נועד לתקן. הסיכון המשפטי קרוב לכך. מיקוד באנשים או במקומות בסיכון גבוה צפוי ליצור פערים בהיקף המפגשים,</w:t>
      </w:r>
      <w:r>
        <w:rPr>
          <w:rStyle w:val="FootnoteReference"/>
        </w:rPr>
        <w:footnoteReference w:id="61"/>
      </w:r>
      <w:r>
        <w:rPr>
          <w:rFonts w:ascii="David" w:cs="David" w:eastAsia="David" w:hAnsi="David"/>
          <w:sz w:val="24"/>
          <w:szCs w:val="24"/>
          <w:rtl/>
        </w:rPr>
        <w:t xml:space="preserve"> אך בתיאור הרפורמה אין פירוט של אמות המידה לבחירת האדם שאליו יפנה השוטר בתוך הפוליגון.</w:t>
      </w:r>
      <w:r>
        <w:rPr>
          <w:rStyle w:val="FootnoteReference"/>
        </w:rPr>
        <w:footnoteReference w:id="62"/>
      </w:r>
      <w:r>
        <w:rPr>
          <w:rFonts w:ascii="David" w:cs="David" w:eastAsia="David" w:hAnsi="David"/>
          <w:sz w:val="24"/>
          <w:szCs w:val="24"/>
          <w:rtl/>
        </w:rPr>
        <w:t xml:space="preserve"> אין זה ממצא שהרפורמה הגדילה מפגשים עם אנשים שלא עברו עבירה, אלא הצעה להרחיב את ההערכה. לאור עניין </w:t>
      </w:r>
      <w:r>
        <w:rPr>
          <w:rFonts w:ascii="David" w:cs="David" w:eastAsia="David" w:hAnsi="David"/>
          <w:b/>
          <w:bCs/>
          <w:sz w:val="24"/>
          <w:szCs w:val="24"/>
          <w:rtl/>
        </w:rPr>
        <w:t xml:space="preserve">טבקה</w:t>
      </w:r>
      <w:r>
        <w:rPr>
          <w:rFonts w:ascii="David" w:cs="David" w:eastAsia="David" w:hAnsi="David"/>
          <w:sz w:val="24"/>
          <w:szCs w:val="24"/>
          <w:rtl/>
        </w:rPr>
        <w:t xml:space="preserve">, מודל שמרכז פעילות יזומה באוכלוסייה מוגדרת מגביר את הצורך באמות מידה גלויות.</w:t>
      </w:r>
    </w:p>
    <w:p>
      <w:pPr>
        <w:pStyle w:val="Heading1"/>
        <w:pageBreakBefore/>
        <w:bidi/>
        <w:spacing w:after="160" w:before="240"/>
        <w:jc w:val="center"/>
      </w:pPr>
      <w:r>
        <w:rPr>
          <w:rFonts w:ascii="David" w:cs="David" w:eastAsia="David" w:hAnsi="David"/>
          <w:b/>
          <w:bCs/>
          <w:sz w:val="32"/>
          <w:szCs w:val="32"/>
          <w:rtl/>
        </w:rPr>
        <w:t xml:space="preserve">4. צעירים ערבים בני 18 עד 24 כמקרה מבחן</w:t>
      </w:r>
    </w:p>
    <w:p>
      <w:pPr>
        <w:pStyle w:val="Heading2"/>
        <w:bidi/>
        <w:spacing w:after="160" w:before="240"/>
        <w:jc w:val="right"/>
      </w:pPr>
      <w:r>
        <w:rPr>
          <w:rFonts w:ascii="David" w:cs="David" w:eastAsia="David" w:hAnsi="David"/>
          <w:b/>
          <w:bCs/>
          <w:sz w:val="28"/>
          <w:szCs w:val="28"/>
          <w:rtl/>
        </w:rPr>
        <w:t xml:space="preserve">4.1 ההצדקה לבחירת קבוצת הגיל</w:t>
      </w:r>
    </w:p>
    <w:p>
      <w:pPr>
        <w:bidi/>
        <w:spacing w:after="120" w:line="360"/>
        <w:ind w:firstLine="0"/>
        <w:jc w:val="both"/>
      </w:pPr>
      <w:r>
        <w:rPr>
          <w:rFonts w:ascii="David" w:cs="David" w:eastAsia="David" w:hAnsi="David"/>
          <w:sz w:val="24"/>
          <w:szCs w:val="24"/>
          <w:rtl/>
        </w:rPr>
        <w:t xml:space="preserve">בקבוצה זו מצטברים ארבעה קשיים: חשיפה גבוהה לפשיעה חמורה, נוכחות אינטנסיבית של אכיפה, טענות לשיטור חסר ולשיטור יתר גם יחד, ואמון נמוך. חלק מן הנתונים נוגעים לחברה הערבית כולה,</w:t>
      </w:r>
      <w:r>
        <w:rPr>
          <w:rStyle w:val="FootnoteReference"/>
        </w:rPr>
        <w:footnoteReference w:id="63"/>
      </w:r>
      <w:r>
        <w:rPr>
          <w:rFonts w:ascii="David" w:cs="David" w:eastAsia="David" w:hAnsi="David"/>
          <w:sz w:val="24"/>
          <w:szCs w:val="24"/>
          <w:rtl/>
        </w:rPr>
        <w:t xml:space="preserve"> ולכן הם משמשים רקע ולא בסיס לייחוס תוצאות לצעירים.</w:t>
      </w:r>
    </w:p>
    <w:p>
      <w:pPr>
        <w:bidi/>
        <w:spacing w:after="120" w:line="360"/>
        <w:ind w:firstLine="0"/>
        <w:jc w:val="both"/>
      </w:pPr>
      <w:r>
        <w:rPr>
          <w:rFonts w:ascii="David" w:cs="David" w:eastAsia="David" w:hAnsi="David"/>
          <w:sz w:val="24"/>
          <w:szCs w:val="24"/>
          <w:rtl/>
        </w:rPr>
        <w:t xml:space="preserve">הנתון המרכזי נוגע להיקף המגע עם האכיפה: 54% מן המעצרים של צעירים לא יהודים בשנת 2023 היו של בני 18 עד 24, ו-49% מכתבי האישום של התביעה המשטרתית נגד צעירים לא יהודים הוגשו נגד בני קבוצת גיל זו.</w:t>
      </w:r>
      <w:r>
        <w:rPr>
          <w:rStyle w:val="FootnoteReference"/>
        </w:rPr>
        <w:footnoteReference w:id="64"/>
      </w:r>
      <w:r>
        <w:rPr>
          <w:rFonts w:ascii="David" w:cs="David" w:eastAsia="David" w:hAnsi="David"/>
          <w:sz w:val="24"/>
          <w:szCs w:val="24"/>
          <w:rtl/>
        </w:rPr>
        <w:t xml:space="preserve"> מסמך הכנסת מבחין בין בני 18 עד 24 לבין בני 25 עד 34, וכך מאפשר השוואה בין קבוצות אוכלוסייה בגיל זהה ומוציא מן הדיון את ההסדרים המיוחדים לקטינים. זהו גם גיל של מעבר ממסגרות החינוך לשוק העבודה, ואלרן ועמיתיו מונים את הנשירה ממסגרות אלה בין הגורמים לאלימות.</w:t>
      </w:r>
      <w:r>
        <w:rPr>
          <w:rStyle w:val="FootnoteReference"/>
        </w:rPr>
        <w:footnoteReference w:id="65"/>
      </w:r>
    </w:p>
    <w:p>
      <w:pPr>
        <w:pStyle w:val="Heading2"/>
        <w:bidi/>
        <w:spacing w:after="160" w:before="240"/>
        <w:jc w:val="right"/>
      </w:pPr>
      <w:r>
        <w:rPr>
          <w:rFonts w:ascii="David" w:cs="David" w:eastAsia="David" w:hAnsi="David"/>
          <w:b/>
          <w:bCs/>
          <w:sz w:val="28"/>
          <w:szCs w:val="28"/>
          <w:rtl/>
        </w:rPr>
        <w:t xml:space="preserve">4.2 נשק בלתי חוקי, ירי וחשיפה לעבריינות</w:t>
      </w:r>
    </w:p>
    <w:p>
      <w:pPr>
        <w:bidi/>
        <w:spacing w:after="120" w:line="360"/>
        <w:ind w:firstLine="0"/>
        <w:jc w:val="both"/>
      </w:pPr>
      <w:r>
        <w:rPr>
          <w:rFonts w:ascii="David" w:cs="David" w:eastAsia="David" w:hAnsi="David"/>
          <w:sz w:val="24"/>
          <w:szCs w:val="24"/>
          <w:rtl/>
        </w:rPr>
        <w:t xml:space="preserve">עבירות הירי פוגעות בביטחון התושבים ובאמונם ביכולת המדינה להגן עליהם, והן ניזונות מבעיית המשילות ומחריפות אותה.</w:t>
      </w:r>
      <w:r>
        <w:rPr>
          <w:rStyle w:val="FootnoteReference"/>
        </w:rPr>
        <w:footnoteReference w:id="66"/>
      </w:r>
      <w:r>
        <w:rPr>
          <w:rFonts w:ascii="David" w:cs="David" w:eastAsia="David" w:hAnsi="David"/>
          <w:sz w:val="24"/>
          <w:szCs w:val="24"/>
          <w:rtl/>
        </w:rPr>
        <w:t xml:space="preserve"> לפי מבקר המדינה, יותר מ-70% מעבירות הירי בחברה הערבית בוצעו בידי אזרחים שמוגדרים "נורמטיביים".</w:t>
      </w:r>
      <w:r>
        <w:rPr>
          <w:rStyle w:val="FootnoteReference"/>
        </w:rPr>
        <w:footnoteReference w:id="67"/>
      </w:r>
      <w:r>
        <w:rPr>
          <w:rFonts w:ascii="David" w:cs="David" w:eastAsia="David" w:hAnsi="David"/>
          <w:sz w:val="24"/>
          <w:szCs w:val="24"/>
          <w:rtl/>
        </w:rPr>
        <w:t xml:space="preserve"> הנתון משנה את מבנה הבעיה, משום שהרתעה ממוקדת הראתה אפקט גדול יותר מול כנופיות וקבוצות עברייניות.</w:t>
      </w:r>
      <w:r>
        <w:rPr>
          <w:rStyle w:val="FootnoteReference"/>
        </w:rPr>
        <w:footnoteReference w:id="68"/>
      </w:r>
      <w:r>
        <w:rPr>
          <w:rFonts w:ascii="David" w:cs="David" w:eastAsia="David" w:hAnsi="David"/>
          <w:sz w:val="24"/>
          <w:szCs w:val="24"/>
          <w:rtl/>
        </w:rPr>
        <w:t xml:space="preserve"> מול אוכלוסייה שבה רבים מן היורים אינם עבריינים מוכרים, הכלי עשוי להיות פחות מדויק.</w:t>
      </w:r>
    </w:p>
    <w:p>
      <w:pPr>
        <w:bidi/>
        <w:spacing w:after="120" w:line="360"/>
        <w:ind w:firstLine="0"/>
        <w:jc w:val="both"/>
      </w:pPr>
      <w:r>
        <w:rPr>
          <w:rFonts w:ascii="David" w:cs="David" w:eastAsia="David" w:hAnsi="David"/>
          <w:sz w:val="24"/>
          <w:szCs w:val="24"/>
          <w:rtl/>
        </w:rPr>
        <w:t xml:space="preserve">הנשק מגיע מגניבות מצה"ל, מהברחות מירדן, מייצור ביהודה ושומרון ומגניבות מבתים ומכלי רכב,</w:t>
      </w:r>
      <w:r>
        <w:rPr>
          <w:rStyle w:val="FootnoteReference"/>
        </w:rPr>
        <w:footnoteReference w:id="69"/>
      </w:r>
      <w:r>
        <w:rPr>
          <w:rFonts w:ascii="David" w:cs="David" w:eastAsia="David" w:hAnsi="David"/>
          <w:sz w:val="24"/>
          <w:szCs w:val="24"/>
          <w:rtl/>
        </w:rPr>
        <w:t xml:space="preserve"> וזמינותו היא גורם מרכזי בתופעה.</w:t>
      </w:r>
      <w:r>
        <w:rPr>
          <w:rStyle w:val="FootnoteReference"/>
        </w:rPr>
        <w:footnoteReference w:id="70"/>
      </w:r>
      <w:r>
        <w:rPr>
          <w:rFonts w:ascii="David" w:cs="David" w:eastAsia="David" w:hAnsi="David"/>
          <w:sz w:val="24"/>
          <w:szCs w:val="24"/>
          <w:rtl/>
        </w:rPr>
        <w:t xml:space="preserve"> מודל שבו כל תחנה בוחרת בעיות בגזרתה מתקשה לטפל בגורם שפועל בקנה מידה ארצי. המבקר תיאר גם איך החסמים בין המשטרה לחברה הערבית מזינים זה את זה ופוגעים באמון, וכך תורמים להתחמשות ולהמשך מעגל הירי.</w:t>
      </w:r>
      <w:r>
        <w:rPr>
          <w:rStyle w:val="FootnoteReference"/>
        </w:rPr>
        <w:footnoteReference w:id="71"/>
      </w:r>
    </w:p>
    <w:p>
      <w:pPr>
        <w:pStyle w:val="Heading2"/>
        <w:bidi/>
        <w:spacing w:after="160" w:before="240"/>
        <w:jc w:val="right"/>
      </w:pPr>
      <w:r>
        <w:rPr>
          <w:rFonts w:ascii="David" w:cs="David" w:eastAsia="David" w:hAnsi="David"/>
          <w:b/>
          <w:bCs/>
          <w:sz w:val="28"/>
          <w:szCs w:val="28"/>
          <w:rtl/>
        </w:rPr>
        <w:t xml:space="preserve">4.3 מעצרים, תיקי חקירה, כתבי אישום ואיכות האכיפה</w:t>
      </w:r>
    </w:p>
    <w:p>
      <w:pPr>
        <w:bidi/>
        <w:spacing w:after="120" w:line="360"/>
        <w:ind w:firstLine="0"/>
        <w:jc w:val="both"/>
      </w:pPr>
      <w:r>
        <w:rPr>
          <w:rFonts w:ascii="David" w:cs="David" w:eastAsia="David" w:hAnsi="David"/>
          <w:sz w:val="24"/>
          <w:szCs w:val="24"/>
          <w:rtl/>
        </w:rPr>
        <w:t xml:space="preserve">בשנים 2023 ו-2024 היו כ-65% מן המעצרים של צעירים מעצרים של לא יהודים.</w:t>
      </w:r>
      <w:r>
        <w:rPr>
          <w:rStyle w:val="FootnoteReference"/>
        </w:rPr>
        <w:footnoteReference w:id="72"/>
      </w:r>
      <w:r>
        <w:rPr>
          <w:rFonts w:ascii="David" w:cs="David" w:eastAsia="David" w:hAnsi="David"/>
          <w:sz w:val="24"/>
          <w:szCs w:val="24"/>
          <w:rtl/>
        </w:rPr>
        <w:t xml:space="preserve"> בשנת 2023 נרשמו לא יהודים ב-46% מן התיקים הגלויים נגד צעירים, ב-50% מתיקי הרכוש, ב-43% מתיקי האלימות וב-50% מתיקי החשיפה, שנפתחים בעקבות פעילות יזומה ולא בעקבות תלונה.</w:t>
      </w:r>
      <w:r>
        <w:rPr>
          <w:rStyle w:val="FootnoteReference"/>
        </w:rPr>
        <w:footnoteReference w:id="73"/>
      </w:r>
      <w:r>
        <w:rPr>
          <w:rFonts w:ascii="David" w:cs="David" w:eastAsia="David" w:hAnsi="David"/>
          <w:sz w:val="24"/>
          <w:szCs w:val="24"/>
          <w:rtl/>
        </w:rPr>
        <w:t xml:space="preserve"> ייצוג יתר יכול לנבוע ממעורבות גבוהה יותר בעבריינות, מריכוז פעילות משטרתית או מדפוסי דיווח. מסמך הכנסת מציע לבדוק אם מעצרים ותיקים מובילים לכתבי אישום באותה מידה בכל הקבוצות.</w:t>
      </w:r>
      <w:r>
        <w:rPr>
          <w:rStyle w:val="FootnoteReference"/>
        </w:rPr>
        <w:footnoteReference w:id="74"/>
      </w:r>
    </w:p>
    <w:p>
      <w:pPr>
        <w:bidi/>
        <w:spacing w:after="120" w:line="360"/>
        <w:ind w:firstLine="0"/>
        <w:jc w:val="both"/>
      </w:pPr>
      <w:r>
        <w:rPr>
          <w:rFonts w:ascii="David" w:cs="David" w:eastAsia="David" w:hAnsi="David"/>
          <w:sz w:val="24"/>
          <w:szCs w:val="24"/>
          <w:rtl/>
        </w:rPr>
        <w:t xml:space="preserve">בעבירות הירי הכלי הזה חושף קושי חמור. שיעור כתבי האישום היה זניח, בשל קשיים בחקירה ובגיבוש ראיות,</w:t>
      </w:r>
      <w:r>
        <w:rPr>
          <w:rStyle w:val="FootnoteReference"/>
        </w:rPr>
        <w:footnoteReference w:id="75"/>
      </w:r>
      <w:r>
        <w:rPr>
          <w:rFonts w:ascii="David" w:cs="David" w:eastAsia="David" w:hAnsi="David"/>
          <w:sz w:val="24"/>
          <w:szCs w:val="24"/>
          <w:rtl/>
        </w:rPr>
        <w:t xml:space="preserve"> ובשנים 2017 עד 2019 עמד על 3% עד 5% בלבד, לעומת כ-15% בכלל תיקי החקירה בשנת 2019.</w:t>
      </w:r>
      <w:r>
        <w:rPr>
          <w:rStyle w:val="FootnoteReference"/>
        </w:rPr>
        <w:footnoteReference w:id="76"/>
      </w:r>
      <w:r>
        <w:rPr>
          <w:rFonts w:ascii="David" w:cs="David" w:eastAsia="David" w:hAnsi="David"/>
          <w:sz w:val="24"/>
          <w:szCs w:val="24"/>
          <w:rtl/>
        </w:rPr>
        <w:t xml:space="preserve"> המבקר מצא פער בין הגידול במערכים המבצעיים לבין התוספת הקטנה של חוקרים, ועומס שאינו בא לידי ביטוי בתקני התחנות שמשרתות אוכלוסייה ערבית.</w:t>
      </w:r>
      <w:r>
        <w:rPr>
          <w:rStyle w:val="FootnoteReference"/>
        </w:rPr>
        <w:footnoteReference w:id="77"/>
      </w:r>
      <w:r>
        <w:rPr>
          <w:rFonts w:ascii="David" w:cs="David" w:eastAsia="David" w:hAnsi="David"/>
          <w:sz w:val="24"/>
          <w:szCs w:val="24"/>
          <w:rtl/>
        </w:rPr>
        <w:t xml:space="preserve"> מסגרתה של נטפוף מסבירה איך אכיפה מוגברת בתחום אחד מתקיימת לצד הגנה חסרה בתחום אחר.</w:t>
      </w:r>
      <w:r>
        <w:rPr>
          <w:rStyle w:val="FootnoteReference"/>
        </w:rPr>
        <w:footnoteReference w:id="78"/>
      </w:r>
      <w:r>
        <w:rPr>
          <w:rFonts w:ascii="David" w:cs="David" w:eastAsia="David" w:hAnsi="David"/>
          <w:sz w:val="24"/>
          <w:szCs w:val="24"/>
          <w:rtl/>
        </w:rPr>
        <w:t xml:space="preserve"> הנתונים מתייחסים לאוכלוסיות ולתקופות שאינן חופפות, ולכן אינם מוכיחים אפליה. אבל בלי תיעוד של המפגשים היזומים אי אפשר גם לשלול אותה.</w:t>
      </w:r>
    </w:p>
    <w:p>
      <w:pPr>
        <w:pStyle w:val="Heading2"/>
        <w:bidi/>
        <w:spacing w:after="160" w:before="240"/>
        <w:jc w:val="right"/>
      </w:pPr>
      <w:r>
        <w:rPr>
          <w:rFonts w:ascii="David" w:cs="David" w:eastAsia="David" w:hAnsi="David"/>
          <w:b/>
          <w:bCs/>
          <w:sz w:val="28"/>
          <w:szCs w:val="28"/>
          <w:rtl/>
        </w:rPr>
        <w:t xml:space="preserve">4.4 בין שיטור חסר לשיטור יתר: אמון, דיווח ושיתוף פעולה</w:t>
      </w:r>
    </w:p>
    <w:p>
      <w:pPr>
        <w:bidi/>
        <w:spacing w:after="120" w:line="360"/>
        <w:ind w:firstLine="0"/>
        <w:jc w:val="both"/>
      </w:pPr>
      <w:r>
        <w:rPr>
          <w:rFonts w:ascii="David" w:cs="David" w:eastAsia="David" w:hAnsi="David"/>
          <w:sz w:val="24"/>
          <w:szCs w:val="24"/>
          <w:rtl/>
        </w:rPr>
        <w:t xml:space="preserve">חוסר אמון פוגע בנכונות להתלונן ולהעיד, היעדר עדויות מקשה על גיבוש ראיות, ומיעוט כתבי האישום מחזק את התחושה שאין טעם לפנות למשטרה. בסקר משנת 2016, כמחצית מן הנפגעים בחברה הערבית שלא דיווחו למשטרה נימקו זאת בתפקוד המשטרה.</w:t>
      </w:r>
      <w:r>
        <w:rPr>
          <w:rStyle w:val="FootnoteReference"/>
        </w:rPr>
        <w:footnoteReference w:id="79"/>
      </w:r>
      <w:r>
        <w:rPr>
          <w:rFonts w:ascii="David" w:cs="David" w:eastAsia="David" w:hAnsi="David"/>
          <w:sz w:val="24"/>
          <w:szCs w:val="24"/>
          <w:rtl/>
        </w:rPr>
        <w:t xml:space="preserve"> בסקרים של 2019 עד 2023 נרשמה ירידה עקבית בשיעור המשיבים הערבים שהביעו אמון במשטרה (בשנת 2020 לא נערך סקר).</w:t>
      </w:r>
      <w:r>
        <w:rPr>
          <w:rStyle w:val="FootnoteReference"/>
        </w:rPr>
        <w:footnoteReference w:id="80"/>
      </w:r>
      <w:r>
        <w:rPr>
          <w:rFonts w:ascii="David" w:cs="David" w:eastAsia="David" w:hAnsi="David"/>
          <w:sz w:val="24"/>
          <w:szCs w:val="24"/>
          <w:rtl/>
        </w:rPr>
        <w:t xml:space="preserve"> בפרשת אום אל-חיראן ציין בית המשפט העליון שתוצאות האירוע, וההצהרות שנמסרו לפני שהבירור הושלם, העמיקו את משבר האמון עם הקהילה הבדואית.</w:t>
      </w:r>
      <w:r>
        <w:rPr>
          <w:rStyle w:val="FootnoteReference"/>
        </w:rPr>
        <w:footnoteReference w:id="81"/>
      </w:r>
    </w:p>
    <w:p>
      <w:pPr>
        <w:bidi/>
        <w:spacing w:after="120" w:line="360"/>
        <w:ind w:firstLine="0"/>
        <w:jc w:val="both"/>
      </w:pPr>
      <w:r>
        <w:rPr>
          <w:rFonts w:ascii="David" w:cs="David" w:eastAsia="David" w:hAnsi="David"/>
          <w:sz w:val="24"/>
          <w:szCs w:val="24"/>
          <w:rtl/>
        </w:rPr>
        <w:t xml:space="preserve">חסייסי מסביר שבחברה שסועה יחסי המשטרה עם המיעוט אינם מוסברים בכלים הרגילים,</w:t>
      </w:r>
      <w:r>
        <w:rPr>
          <w:rStyle w:val="FootnoteReference"/>
        </w:rPr>
        <w:footnoteReference w:id="82"/>
      </w:r>
      <w:r>
        <w:rPr>
          <w:rFonts w:ascii="David" w:cs="David" w:eastAsia="David" w:hAnsi="David"/>
          <w:sz w:val="24"/>
          <w:szCs w:val="24"/>
          <w:rtl/>
        </w:rPr>
        <w:t xml:space="preserve"> ושפיקוח משטרתי כבד אינו מעיד בהכרח על משילות.</w:t>
      </w:r>
      <w:r>
        <w:rPr>
          <w:rStyle w:val="FootnoteReference"/>
        </w:rPr>
        <w:footnoteReference w:id="83"/>
      </w:r>
      <w:r>
        <w:rPr>
          <w:rFonts w:ascii="David" w:cs="David" w:eastAsia="David" w:hAnsi="David"/>
          <w:sz w:val="24"/>
          <w:szCs w:val="24"/>
          <w:rtl/>
        </w:rPr>
        <w:t xml:space="preserve"> מפקדי תחנות תיארו קושי ממשי בגביית עדויות גם כשיש נכונות לדווח.</w:t>
      </w:r>
      <w:r>
        <w:rPr>
          <w:rStyle w:val="FootnoteReference"/>
        </w:rPr>
        <w:footnoteReference w:id="84"/>
      </w:r>
      <w:r>
        <w:rPr>
          <w:rFonts w:ascii="David" w:cs="David" w:eastAsia="David" w:hAnsi="David"/>
          <w:sz w:val="24"/>
          <w:szCs w:val="24"/>
          <w:rtl/>
        </w:rPr>
        <w:t xml:space="preserve"> שחיקת האמון היא אפוא חלק מן האפקטיביות ולא גורם חיצוני לה. אמו"ן נשענת על סקר מקומי ועל נתוני אירועים שחלקם תלויים בדיווח,</w:t>
      </w:r>
      <w:r>
        <w:rPr>
          <w:rStyle w:val="FootnoteReference"/>
        </w:rPr>
        <w:footnoteReference w:id="85"/>
      </w:r>
      <w:r>
        <w:rPr>
          <w:rFonts w:ascii="David" w:cs="David" w:eastAsia="David" w:hAnsi="David"/>
          <w:sz w:val="24"/>
          <w:szCs w:val="24"/>
          <w:rtl/>
        </w:rPr>
        <w:t xml:space="preserve"> ולכן אמון נמוך משנה את תנאי הפעולה של המודל בקבוצה הזו.</w:t>
      </w:r>
    </w:p>
    <w:p>
      <w:pPr>
        <w:pStyle w:val="Heading1"/>
        <w:pageBreakBefore/>
        <w:bidi/>
        <w:spacing w:after="160" w:before="240"/>
        <w:jc w:val="center"/>
      </w:pPr>
      <w:r>
        <w:rPr>
          <w:rFonts w:ascii="David" w:cs="David" w:eastAsia="David" w:hAnsi="David"/>
          <w:b/>
          <w:bCs/>
          <w:sz w:val="32"/>
          <w:szCs w:val="32"/>
          <w:rtl/>
        </w:rPr>
        <w:t xml:space="preserve">5. יישום רפורמת אמו"ן והערכת האפקטיביות שלה</w:t>
      </w:r>
    </w:p>
    <w:p>
      <w:pPr>
        <w:pStyle w:val="Heading2"/>
        <w:bidi/>
        <w:spacing w:after="160" w:before="240"/>
        <w:jc w:val="right"/>
      </w:pPr>
      <w:r>
        <w:rPr>
          <w:rFonts w:ascii="David" w:cs="David" w:eastAsia="David" w:hAnsi="David"/>
          <w:b/>
          <w:bCs/>
          <w:sz w:val="28"/>
          <w:szCs w:val="28"/>
          <w:rtl/>
        </w:rPr>
        <w:t xml:space="preserve">5.1 תוצאות הרפורמה בעבירות רכוש</w:t>
      </w:r>
    </w:p>
    <w:p>
      <w:pPr>
        <w:bidi/>
        <w:spacing w:after="120" w:line="360"/>
        <w:ind w:firstLine="0"/>
        <w:jc w:val="both"/>
      </w:pPr>
      <w:r>
        <w:rPr>
          <w:rFonts w:ascii="David" w:cs="David" w:eastAsia="David" w:hAnsi="David"/>
          <w:sz w:val="24"/>
          <w:szCs w:val="24"/>
          <w:rtl/>
        </w:rPr>
        <w:t xml:space="preserve">המכון לקרימינולוגיה באוניברסיטה העברית העריך את אמו"ן בשיתוף מחלקת האסטרטגיה של המשטרה, בסדרת דוחות לפי סלי עבירות.</w:t>
      </w:r>
      <w:r>
        <w:rPr>
          <w:rStyle w:val="FootnoteReference"/>
        </w:rPr>
        <w:footnoteReference w:id="86"/>
      </w:r>
      <w:r>
        <w:rPr>
          <w:rFonts w:ascii="David" w:cs="David" w:eastAsia="David" w:hAnsi="David"/>
          <w:sz w:val="24"/>
          <w:szCs w:val="24"/>
          <w:rtl/>
        </w:rPr>
        <w:t xml:space="preserve"> בסל הרכוש הושוו שלוש תחנות התערבות, עם היקף גבוה, בינוני ונמוך של פשיעת רכוש, לתחנות ביקורת דומות.</w:t>
      </w:r>
      <w:r>
        <w:rPr>
          <w:rStyle w:val="FootnoteReference"/>
        </w:rPr>
        <w:footnoteReference w:id="87"/>
      </w:r>
      <w:r>
        <w:rPr>
          <w:rFonts w:ascii="David" w:cs="David" w:eastAsia="David" w:hAnsi="David"/>
          <w:sz w:val="24"/>
          <w:szCs w:val="24"/>
          <w:rtl/>
        </w:rPr>
        <w:t xml:space="preserve"> בתחנה שבה הפשיעה הייתה גבוהה נמצאה בתוך הפוליגון ירידה של כ-50% ושל כ-40% בהשוואה לשתי תחנות הביקורת, בלי עדות להתקה, ואף ירידה מובהקת של 17% מחוץ לפוליגון. בתחנה הבינונית התמונה הייתה דומה. בתחנה שבה הפשיעה הייתה נמוכה הירידה לא הייתה מובהקת, והחוקרים ייחסו זאת לשיעור הפשיעה הנמוך ולמיעוט המשאבים, שכן התחנה לא הצליחה לגייס משאבים מן המחוז או מן הרשות המקומית.</w:t>
      </w:r>
      <w:r>
        <w:rPr>
          <w:rStyle w:val="FootnoteReference"/>
        </w:rPr>
        <w:footnoteReference w:id="88"/>
      </w:r>
    </w:p>
    <w:p>
      <w:pPr>
        <w:bidi/>
        <w:spacing w:after="120" w:line="360"/>
        <w:ind w:firstLine="0"/>
        <w:jc w:val="both"/>
      </w:pPr>
      <w:r>
        <w:rPr>
          <w:rFonts w:ascii="David" w:cs="David" w:eastAsia="David" w:hAnsi="David"/>
          <w:sz w:val="24"/>
          <w:szCs w:val="24"/>
          <w:rtl/>
        </w:rPr>
        <w:t xml:space="preserve">שלוש התחנות פעלו לפי אותה תפיסה, אך נבדלו ברמת הפשיעה, במשאבים וביכולת לגייס שותפים. יש אפוא בסיס לראות במשאבים הסבר אפשרי, אך המחקר אינו מבודד את תרומתו של כל גורם. לסל הרכוש יש גם מאפיינים שמקלים על המודל, כמו אמצעי מניעה מצבית של תאורה, מצלמות ומחסומים,</w:t>
      </w:r>
      <w:r>
        <w:rPr>
          <w:rStyle w:val="FootnoteReference"/>
        </w:rPr>
        <w:footnoteReference w:id="89"/>
      </w:r>
      <w:r>
        <w:rPr>
          <w:rFonts w:ascii="David" w:cs="David" w:eastAsia="David" w:hAnsi="David"/>
          <w:sz w:val="24"/>
          <w:szCs w:val="24"/>
          <w:rtl/>
        </w:rPr>
        <w:t xml:space="preserve"> בעוד שבירי קשה למקם אירועים ולהתאים את ההתערבות לסוגי הסכסוכים.</w:t>
      </w:r>
      <w:r>
        <w:rPr>
          <w:rStyle w:val="FootnoteReference"/>
        </w:rPr>
        <w:footnoteReference w:id="90"/>
      </w:r>
      <w:r>
        <w:rPr>
          <w:rFonts w:ascii="David" w:cs="David" w:eastAsia="David" w:hAnsi="David"/>
          <w:sz w:val="24"/>
          <w:szCs w:val="24"/>
          <w:rtl/>
        </w:rPr>
        <w:t xml:space="preserve"> הממצא בסל הרכוש אינו מלמד דבר על איכות המפגשים בפוליגון או על התפלגותם בין קבוצות, משום שהמדדים לא כללו מדד להוגנות המפגש.</w:t>
      </w:r>
      <w:r>
        <w:rPr>
          <w:rStyle w:val="FootnoteReference"/>
        </w:rPr>
        <w:footnoteReference w:id="91"/>
      </w:r>
    </w:p>
    <w:p>
      <w:pPr>
        <w:pStyle w:val="Heading2"/>
        <w:bidi/>
        <w:spacing w:after="160" w:before="240"/>
        <w:jc w:val="right"/>
      </w:pPr>
      <w:r>
        <w:rPr>
          <w:rFonts w:ascii="David" w:cs="David" w:eastAsia="David" w:hAnsi="David"/>
          <w:b/>
          <w:bCs/>
          <w:sz w:val="28"/>
          <w:szCs w:val="28"/>
          <w:rtl/>
        </w:rPr>
        <w:t xml:space="preserve">5.2 תוצאות הרפורמה בעבירות אלימות וירי</w:t>
      </w:r>
    </w:p>
    <w:p>
      <w:pPr>
        <w:bidi/>
        <w:spacing w:after="120" w:line="360"/>
        <w:ind w:firstLine="0"/>
        <w:jc w:val="both"/>
      </w:pPr>
      <w:r>
        <w:rPr>
          <w:rFonts w:ascii="David" w:cs="David" w:eastAsia="David" w:hAnsi="David"/>
          <w:sz w:val="24"/>
          <w:szCs w:val="24"/>
          <w:rtl/>
        </w:rPr>
        <w:t xml:space="preserve">בסל האלימות נמצאה בתוך הפוליגון ירידה לא מובהקת, ומחוצה לו נצפתה ברוב ההשוואות עלייה, מובהקת בשתיים מהן.</w:t>
      </w:r>
      <w:r>
        <w:rPr>
          <w:rStyle w:val="FootnoteReference"/>
        </w:rPr>
        <w:footnoteReference w:id="92"/>
      </w:r>
      <w:r>
        <w:rPr>
          <w:rFonts w:ascii="David" w:cs="David" w:eastAsia="David" w:hAnsi="David"/>
          <w:sz w:val="24"/>
          <w:szCs w:val="24"/>
          <w:rtl/>
        </w:rPr>
        <w:t xml:space="preserve"> החוקרים הציעו שני הסברים, התקה או הסטת משאבים מן השטח שמחוץ לפוליגון, וייחסו את עיקר הכישלון ליישום חלקי ולהגדרה רחבה מדי של הסל, שנבעה מן הצורך לצבור מספר אירועים שמאפשר מדידה.</w:t>
      </w:r>
      <w:r>
        <w:rPr>
          <w:rStyle w:val="FootnoteReference"/>
        </w:rPr>
        <w:footnoteReference w:id="93"/>
      </w:r>
    </w:p>
    <w:p>
      <w:pPr>
        <w:bidi/>
        <w:spacing w:after="120" w:line="360"/>
        <w:ind w:firstLine="0"/>
        <w:jc w:val="both"/>
      </w:pPr>
      <w:r>
        <w:rPr>
          <w:rFonts w:ascii="David" w:cs="David" w:eastAsia="David" w:hAnsi="David"/>
          <w:sz w:val="24"/>
          <w:szCs w:val="24"/>
          <w:rtl/>
        </w:rPr>
        <w:t xml:space="preserve">בסל הירי נערך מחקר תהליך איכותני בארבע תחנות, רובן בחברה הערבית.</w:t>
      </w:r>
      <w:r>
        <w:rPr>
          <w:rStyle w:val="FootnoteReference"/>
        </w:rPr>
        <w:footnoteReference w:id="94"/>
      </w:r>
      <w:r>
        <w:rPr>
          <w:rFonts w:ascii="David" w:cs="David" w:eastAsia="David" w:hAnsi="David"/>
          <w:sz w:val="24"/>
          <w:szCs w:val="24"/>
          <w:rtl/>
        </w:rPr>
        <w:t xml:space="preserve"> מערכות המדידה לא אפשרו למקם אירועים ביישובים ערביים, ולכן המיקוד המרחבי לא יושם ברוב התחנות.</w:t>
      </w:r>
      <w:r>
        <w:rPr>
          <w:rStyle w:val="FootnoteReference"/>
        </w:rPr>
        <w:footnoteReference w:id="95"/>
      </w:r>
      <w:r>
        <w:rPr>
          <w:rFonts w:ascii="David" w:cs="David" w:eastAsia="David" w:hAnsi="David"/>
          <w:sz w:val="24"/>
          <w:szCs w:val="24"/>
          <w:rtl/>
        </w:rPr>
        <w:t xml:space="preserve"> בתוכניות נמצאו רכיבים של הרתעה ממוקדת, אך לא תוכנית שלמה: לא נמצאו מפגשים עם עבריינים ולא רכיבים שיקומיים, ורכיב הקהילה יושם באופן חלקי בשתי תחנות בלבד.</w:t>
      </w:r>
      <w:r>
        <w:rPr>
          <w:rStyle w:val="FootnoteReference"/>
        </w:rPr>
        <w:footnoteReference w:id="96"/>
      </w:r>
      <w:r>
        <w:rPr>
          <w:rFonts w:ascii="David" w:cs="David" w:eastAsia="David" w:hAnsi="David"/>
          <w:sz w:val="24"/>
          <w:szCs w:val="24"/>
          <w:rtl/>
        </w:rPr>
        <w:t xml:space="preserve"> בתחנה שהתמקדה בארבע שכונות נרשמה ירידה משמעותית בירי, אך גם בתחנה שלא הגדירה פוליגון הושגו היעדים.</w:t>
      </w:r>
      <w:r>
        <w:rPr>
          <w:rStyle w:val="FootnoteReference"/>
        </w:rPr>
        <w:footnoteReference w:id="97"/>
      </w:r>
      <w:r>
        <w:rPr>
          <w:rFonts w:ascii="David" w:cs="David" w:eastAsia="David" w:hAnsi="David"/>
          <w:sz w:val="24"/>
          <w:szCs w:val="24"/>
          <w:rtl/>
        </w:rPr>
        <w:t xml:space="preserve"> מאחר שבסל הירי נבחן תהליך ולא אפקט, אי אפשר לומר שהרפורמה נכשלה בו. אפשר לומר שהיא לא יושמה במלואה, ושמערך המחקר מגביל את הערכת השפעתה.</w:t>
      </w:r>
    </w:p>
    <w:p>
      <w:pPr>
        <w:pStyle w:val="Heading2"/>
        <w:bidi/>
        <w:spacing w:after="160" w:before="240"/>
        <w:jc w:val="right"/>
      </w:pPr>
      <w:r>
        <w:rPr>
          <w:rFonts w:ascii="David" w:cs="David" w:eastAsia="David" w:hAnsi="David"/>
          <w:b/>
          <w:bCs/>
          <w:sz w:val="28"/>
          <w:szCs w:val="28"/>
          <w:rtl/>
        </w:rPr>
        <w:t xml:space="preserve">5.3 הטמעת הרפורמה, משאבים ותפקוד התחנות</w:t>
      </w:r>
    </w:p>
    <w:p>
      <w:pPr>
        <w:bidi/>
        <w:spacing w:after="120" w:line="360"/>
        <w:ind w:firstLine="0"/>
        <w:jc w:val="both"/>
      </w:pPr>
      <w:r>
        <w:rPr>
          <w:rFonts w:ascii="David" w:cs="David" w:eastAsia="David" w:hAnsi="David"/>
          <w:sz w:val="24"/>
          <w:szCs w:val="24"/>
          <w:rtl/>
        </w:rPr>
        <w:t xml:space="preserve">הרפורמה יצרה במשטרה אקלים של פתרון בעיות מבוסס נתונים, מערכת לניתוח פשיעה ושיטה חדשה להערכת ביצועים ששינתה את התמריצים ואת הקידום.</w:t>
      </w:r>
      <w:r>
        <w:rPr>
          <w:rStyle w:val="FootnoteReference"/>
        </w:rPr>
        <w:footnoteReference w:id="98"/>
      </w:r>
      <w:r>
        <w:rPr>
          <w:rFonts w:ascii="David" w:cs="David" w:eastAsia="David" w:hAnsi="David"/>
          <w:sz w:val="24"/>
          <w:szCs w:val="24"/>
          <w:rtl/>
        </w:rPr>
        <w:t xml:space="preserve"> מנגד נמצאו סטיות: בעיות הוגדרו באופן רחב, תחנות צירפו עבירות שונות כדי להגיע לרף המינימלי, ובמקרים קיצוניים הוגדר יישוב שלם כפוליגון.</w:t>
      </w:r>
      <w:r>
        <w:rPr>
          <w:rStyle w:val="FootnoteReference"/>
        </w:rPr>
        <w:footnoteReference w:id="99"/>
      </w:r>
      <w:r>
        <w:rPr>
          <w:rFonts w:ascii="David" w:cs="David" w:eastAsia="David" w:hAnsi="David"/>
          <w:sz w:val="24"/>
          <w:szCs w:val="24"/>
          <w:rtl/>
        </w:rPr>
        <w:t xml:space="preserve"> דרישת הסף המספרית עודדה אפוא הרחבה של הבעיה.</w:t>
      </w:r>
    </w:p>
    <w:p>
      <w:pPr>
        <w:bidi/>
        <w:spacing w:after="120" w:line="360"/>
        <w:ind w:firstLine="0"/>
        <w:jc w:val="both"/>
      </w:pPr>
      <w:r>
        <w:rPr>
          <w:rFonts w:ascii="David" w:cs="David" w:eastAsia="David" w:hAnsi="David"/>
          <w:sz w:val="24"/>
          <w:szCs w:val="24"/>
          <w:rtl/>
        </w:rPr>
        <w:t xml:space="preserve">בתחנות שטיפלו בירי דווח שהגישה למשאבים ולכוח אדם אינה תואמת את היקף הבעיה, ושהמחסור פוגע במודיעין, יוצר שחיקה ופוגע בבניית האמון עם הקהילות.</w:t>
      </w:r>
      <w:r>
        <w:rPr>
          <w:rStyle w:val="FootnoteReference"/>
        </w:rPr>
        <w:footnoteReference w:id="100"/>
      </w:r>
      <w:r>
        <w:rPr>
          <w:rFonts w:ascii="David" w:cs="David" w:eastAsia="David" w:hAnsi="David"/>
          <w:sz w:val="24"/>
          <w:szCs w:val="24"/>
          <w:rtl/>
        </w:rPr>
        <w:t xml:space="preserve"> התמונה תואמת את ממצאי מבקר המדינה על העומס במשרדי החקירות בתחנות שמשרתות אוכלוסייה ערבית.</w:t>
      </w:r>
      <w:r>
        <w:rPr>
          <w:rStyle w:val="FootnoteReference"/>
        </w:rPr>
        <w:footnoteReference w:id="101"/>
      </w:r>
      <w:r>
        <w:rPr>
          <w:rFonts w:ascii="David" w:cs="David" w:eastAsia="David" w:hAnsi="David"/>
          <w:sz w:val="24"/>
          <w:szCs w:val="24"/>
          <w:rtl/>
        </w:rPr>
        <w:t xml:space="preserve"> היעדר היכולת למקם אירועים ביישובים ערביים הוא כשל של תשתית ארצית, והחוקרים ציינו שיש בסיס להרחיב את שיטור נקודות החמות גם בתחום הירי.</w:t>
      </w:r>
      <w:r>
        <w:rPr>
          <w:rStyle w:val="FootnoteReference"/>
        </w:rPr>
        <w:footnoteReference w:id="102"/>
      </w:r>
      <w:r>
        <w:rPr>
          <w:rFonts w:ascii="David" w:cs="David" w:eastAsia="David" w:hAnsi="David"/>
          <w:sz w:val="24"/>
          <w:szCs w:val="24"/>
          <w:rtl/>
        </w:rPr>
        <w:t xml:space="preserve"> המנגנון שמחייב תחנה להסביר פער בין תוכנית לתוצאה הוא כלי ניהולי חשוב,</w:t>
      </w:r>
      <w:r>
        <w:rPr>
          <w:rStyle w:val="FootnoteReference"/>
        </w:rPr>
        <w:footnoteReference w:id="103"/>
      </w:r>
      <w:r>
        <w:rPr>
          <w:rFonts w:ascii="David" w:cs="David" w:eastAsia="David" w:hAnsi="David"/>
          <w:sz w:val="24"/>
          <w:szCs w:val="24"/>
          <w:rtl/>
        </w:rPr>
        <w:t xml:space="preserve"> אך הוא מכוון לשאלות של ביצוע ולא של הוגנות.</w:t>
      </w:r>
    </w:p>
    <w:p>
      <w:pPr>
        <w:pStyle w:val="Heading2"/>
        <w:bidi/>
        <w:spacing w:after="160" w:before="240"/>
        <w:jc w:val="right"/>
      </w:pPr>
      <w:r>
        <w:rPr>
          <w:rFonts w:ascii="David" w:cs="David" w:eastAsia="David" w:hAnsi="David"/>
          <w:b/>
          <w:bCs/>
          <w:sz w:val="28"/>
          <w:szCs w:val="28"/>
          <w:rtl/>
        </w:rPr>
        <w:t xml:space="preserve">5.4 עמדות הציבור ומגבלות מחקרי ההערכה</w:t>
      </w:r>
    </w:p>
    <w:p>
      <w:pPr>
        <w:bidi/>
        <w:spacing w:after="120" w:line="360"/>
        <w:ind w:firstLine="0"/>
        <w:jc w:val="both"/>
      </w:pPr>
      <w:r>
        <w:rPr>
          <w:rFonts w:ascii="David" w:cs="David" w:eastAsia="David" w:hAnsi="David"/>
          <w:sz w:val="24"/>
          <w:szCs w:val="24"/>
          <w:rtl/>
        </w:rPr>
        <w:t xml:space="preserve">ניתוח רב-רמתי מצא קשר חיובי בין ציוני התחנה באמו"ן לבין אמון התושבים, וקשר חזק עוד יותר בין הוגנות ההליכים לבין אמון.</w:t>
      </w:r>
      <w:r>
        <w:rPr>
          <w:rStyle w:val="FootnoteReference"/>
        </w:rPr>
        <w:footnoteReference w:id="104"/>
      </w:r>
      <w:r>
        <w:rPr>
          <w:rFonts w:ascii="David" w:cs="David" w:eastAsia="David" w:hAnsi="David"/>
          <w:sz w:val="24"/>
          <w:szCs w:val="24"/>
          <w:rtl/>
        </w:rPr>
        <w:t xml:space="preserve"> בתחנות שמשרתות אוכלוסייה ערבית נמצא אמון נמוך יותר גם לאחר פיקוח על משתנים אחרים, ובקרב משיבים ערבים לא נמצא קשר ישיר בין הערכת הטיפול בעבירות איכות חיים לבין נכונות לשתף פעולה.</w:t>
      </w:r>
      <w:r>
        <w:rPr>
          <w:rStyle w:val="FootnoteReference"/>
        </w:rPr>
        <w:footnoteReference w:id="105"/>
      </w:r>
      <w:r>
        <w:rPr>
          <w:rFonts w:ascii="David" w:cs="David" w:eastAsia="David" w:hAnsi="David"/>
          <w:sz w:val="24"/>
          <w:szCs w:val="24"/>
          <w:rtl/>
        </w:rPr>
        <w:t xml:space="preserve"> אין להסיק מכך שהקשר בין ביצועים לאמון אינו פועל בחברה הערבית, אלא שיש לבחון בנפרד את סוג העבירה ואת התוצאה המבוקשת.</w:t>
      </w:r>
    </w:p>
    <w:p>
      <w:pPr>
        <w:bidi/>
        <w:spacing w:after="120" w:line="360"/>
        <w:ind w:firstLine="0"/>
        <w:jc w:val="both"/>
      </w:pPr>
      <w:r>
        <w:rPr>
          <w:rFonts w:ascii="David" w:cs="David" w:eastAsia="David" w:hAnsi="David"/>
          <w:sz w:val="24"/>
          <w:szCs w:val="24"/>
          <w:rtl/>
        </w:rPr>
        <w:t xml:space="preserve">המחקרים מתאמיים או מעין-ניסויים, בלי הקצאה אקראית של תחנות, ולכן קשה לשלול הסברים חלופיים.</w:t>
      </w:r>
      <w:r>
        <w:rPr>
          <w:rStyle w:val="FootnoteReference"/>
        </w:rPr>
        <w:footnoteReference w:id="106"/>
      </w:r>
      <w:r>
        <w:rPr>
          <w:rFonts w:ascii="David" w:cs="David" w:eastAsia="David" w:hAnsi="David"/>
          <w:sz w:val="24"/>
          <w:szCs w:val="24"/>
          <w:rtl/>
        </w:rPr>
        <w:t xml:space="preserve"> לכך מצטרפת בעיה מושגית: כשהדיווח נמוך והזירות משובשות, ייתכן שמספר האירועים אינו המדד הנכון, ונדרש מדד מורכב שמביא בחשבון גם בניית תיקים עם תשתית ראייתית חזקה.</w:t>
      </w:r>
      <w:r>
        <w:rPr>
          <w:rStyle w:val="FootnoteReference"/>
        </w:rPr>
        <w:footnoteReference w:id="107"/>
      </w:r>
      <w:r>
        <w:rPr>
          <w:rFonts w:ascii="David" w:cs="David" w:eastAsia="David" w:hAnsi="David"/>
          <w:sz w:val="24"/>
          <w:szCs w:val="24"/>
          <w:rtl/>
        </w:rPr>
        <w:t xml:space="preserve"> בקבוצה שבה הדיווח נמוך וכתבי האישום מעטים, מדד שמבוסס רק על אירועים עלול להראות שיפור גם כשההגנה על הקהילה נחלשה.</w:t>
      </w:r>
    </w:p>
    <w:p>
      <w:pPr>
        <w:pStyle w:val="Heading1"/>
        <w:pageBreakBefore/>
        <w:bidi/>
        <w:spacing w:after="160" w:before="240"/>
        <w:jc w:val="center"/>
      </w:pPr>
      <w:r>
        <w:rPr>
          <w:rFonts w:ascii="David" w:cs="David" w:eastAsia="David" w:hAnsi="David"/>
          <w:b/>
          <w:bCs/>
          <w:sz w:val="32"/>
          <w:szCs w:val="32"/>
          <w:rtl/>
        </w:rPr>
        <w:t xml:space="preserve">6. משפט משווה: רפורמות שיטור והבניית שיקול הדעת בארצות הברית ובבריטניה</w:t>
      </w:r>
    </w:p>
    <w:p>
      <w:pPr>
        <w:pStyle w:val="Heading2"/>
        <w:bidi/>
        <w:spacing w:after="160" w:before="240"/>
        <w:jc w:val="right"/>
      </w:pPr>
      <w:r>
        <w:rPr>
          <w:rFonts w:ascii="David" w:cs="David" w:eastAsia="David" w:hAnsi="David"/>
          <w:b/>
          <w:bCs/>
          <w:sz w:val="28"/>
          <w:szCs w:val="28"/>
          <w:rtl/>
        </w:rPr>
        <w:t xml:space="preserve">6.1 מטרת ההשוואה ואמות המידה להשוואה</w:t>
      </w:r>
    </w:p>
    <w:p>
      <w:pPr>
        <w:bidi/>
        <w:spacing w:after="120" w:line="360"/>
        <w:ind w:firstLine="0"/>
        <w:jc w:val="both"/>
      </w:pPr>
      <w:r>
        <w:rPr>
          <w:rFonts w:ascii="David" w:cs="David" w:eastAsia="David" w:hAnsi="David"/>
          <w:sz w:val="24"/>
          <w:szCs w:val="24"/>
          <w:rtl/>
        </w:rPr>
        <w:t xml:space="preserve">ההשוואה אינה מבקשת לייבא פתרונות, אלא לבחון שלושה צירים: איך נקבע מיקוד האכיפה, איך מובנה שיקול הדעת של השוטר במפגש, ואיך נמדדים האפקטיביות והשוויון ומי מפקח על המדידה. אמו"ן מקפידה על שלב התכנון, אך אינה מפרטת איך ייבחר האדם שאליו יפנה השוטר בתוך הפוליגון.</w:t>
      </w:r>
      <w:r>
        <w:rPr>
          <w:rStyle w:val="FootnoteReference"/>
        </w:rPr>
        <w:footnoteReference w:id="108"/>
      </w:r>
      <w:r>
        <w:rPr>
          <w:rFonts w:ascii="David" w:cs="David" w:eastAsia="David" w:hAnsi="David"/>
          <w:sz w:val="24"/>
          <w:szCs w:val="24"/>
          <w:rtl/>
        </w:rPr>
        <w:t xml:space="preserve"> ארצות הברית היא מקור מודל השיטור המוכוון בעיות, ואנגליה ווילס מספקות דוגמה לחקיקה מפורטת של סמכויות עיכוב וחיפוש ולקוד שמסדיר את הפעלתן.</w:t>
      </w:r>
      <w:r>
        <w:rPr>
          <w:rStyle w:val="FootnoteReference"/>
        </w:rPr>
        <w:footnoteReference w:id="109"/>
      </w:r>
    </w:p>
    <w:p>
      <w:pPr>
        <w:pStyle w:val="Heading2"/>
        <w:bidi/>
        <w:spacing w:after="160" w:before="240"/>
        <w:jc w:val="right"/>
      </w:pPr>
      <w:r>
        <w:rPr>
          <w:rFonts w:ascii="David" w:cs="David" w:eastAsia="David" w:hAnsi="David"/>
          <w:b/>
          <w:bCs/>
          <w:sz w:val="28"/>
          <w:szCs w:val="28"/>
          <w:rtl/>
        </w:rPr>
        <w:t xml:space="preserve">6.2 ארצות הברית: שיטור מוכוון בעיות, אכיפה ממוקדת ופיקוח משפטי</w:t>
      </w:r>
    </w:p>
    <w:p>
      <w:pPr>
        <w:bidi/>
        <w:spacing w:after="120" w:line="360"/>
        <w:ind w:firstLine="0"/>
        <w:jc w:val="both"/>
      </w:pPr>
      <w:r>
        <w:rPr>
          <w:rFonts w:ascii="David" w:cs="David" w:eastAsia="David" w:hAnsi="David"/>
          <w:sz w:val="24"/>
          <w:szCs w:val="24"/>
          <w:rtl/>
        </w:rPr>
        <w:t xml:space="preserve">התיקון הרביעי לחוקה אוסר חיפושים ותפיסות בלתי סבירים.</w:t>
      </w:r>
      <w:r>
        <w:rPr>
          <w:rStyle w:val="FootnoteReference"/>
        </w:rPr>
        <w:footnoteReference w:id="110"/>
      </w:r>
      <w:r>
        <w:rPr>
          <w:rFonts w:ascii="David" w:cs="David" w:eastAsia="David" w:hAnsi="David"/>
          <w:sz w:val="24"/>
          <w:szCs w:val="24"/>
          <w:rtl/>
        </w:rPr>
        <w:t xml:space="preserve"> בעניין </w:t>
      </w:r>
      <w:r>
        <w:rPr>
          <w:rFonts w:ascii="David" w:cs="David" w:eastAsia="David" w:hAnsi="David"/>
          <w:i/>
          <w:iCs/>
          <w:sz w:val="24"/>
          <w:szCs w:val="24"/>
          <w:rtl w:val="false"/>
        </w:rPr>
        <w:t xml:space="preserve">Terry‎</w:t>
      </w:r>
      <w:r>
        <w:rPr>
          <w:rFonts w:ascii="David" w:cs="David" w:eastAsia="David" w:hAnsi="David"/>
          <w:sz w:val="24"/>
          <w:szCs w:val="24"/>
          <w:rtl/>
        </w:rPr>
        <w:t xml:space="preserve"> נקבע שעצירה לבירור צריכה להישען על עובדות ספציפיות, ושטפיחה לאיתור נשק מחייבת יסוד סביר להניח שהאדם חמוש ומסוכן.</w:t>
      </w:r>
      <w:r>
        <w:rPr>
          <w:rStyle w:val="FootnoteReference"/>
        </w:rPr>
        <w:footnoteReference w:id="111"/>
      </w:r>
      <w:r>
        <w:rPr>
          <w:rFonts w:ascii="David" w:cs="David" w:eastAsia="David" w:hAnsi="David"/>
          <w:sz w:val="24"/>
          <w:szCs w:val="24"/>
          <w:rtl/>
        </w:rPr>
        <w:t xml:space="preserve"> בעניין </w:t>
      </w:r>
      <w:r>
        <w:rPr>
          <w:rFonts w:ascii="David" w:cs="David" w:eastAsia="David" w:hAnsi="David"/>
          <w:i/>
          <w:iCs/>
          <w:sz w:val="24"/>
          <w:szCs w:val="24"/>
          <w:rtl w:val="false"/>
        </w:rPr>
        <w:t xml:space="preserve">Whren‎</w:t>
      </w:r>
      <w:r>
        <w:rPr>
          <w:rFonts w:ascii="David" w:cs="David" w:eastAsia="David" w:hAnsi="David"/>
          <w:sz w:val="24"/>
          <w:szCs w:val="24"/>
          <w:rtl/>
        </w:rPr>
        <w:t xml:space="preserve"> נקבע שכוונותיו הסובייקטיביות של השוטר אינן רלוונטיות לבחינת העצירה, ושההגנה מפני אכיפה מפלה מצויה בסעיף ההגנה השווה.</w:t>
      </w:r>
      <w:r>
        <w:rPr>
          <w:rStyle w:val="FootnoteReference"/>
        </w:rPr>
        <w:footnoteReference w:id="112"/>
      </w:r>
      <w:r>
        <w:rPr>
          <w:rFonts w:ascii="David" w:cs="David" w:eastAsia="David" w:hAnsi="David"/>
          <w:sz w:val="24"/>
          <w:szCs w:val="24"/>
          <w:rtl/>
        </w:rPr>
        <w:t xml:space="preserve"> בעניין </w:t>
      </w:r>
      <w:r>
        <w:rPr>
          <w:rFonts w:ascii="David" w:cs="David" w:eastAsia="David" w:hAnsi="David"/>
          <w:i/>
          <w:iCs/>
          <w:sz w:val="24"/>
          <w:szCs w:val="24"/>
          <w:rtl w:val="false"/>
        </w:rPr>
        <w:t xml:space="preserve">Wardlow‎</w:t>
      </w:r>
      <w:r>
        <w:rPr>
          <w:rFonts w:ascii="David" w:cs="David" w:eastAsia="David" w:hAnsi="David"/>
          <w:sz w:val="24"/>
          <w:szCs w:val="24"/>
          <w:rtl/>
        </w:rPr>
        <w:t xml:space="preserve"> נקבע שנוכחות באזור של פשיעה גבוהה אינה מספיקה לבדה לחשד, אך היא רלוונטית להערכת הנסיבות.</w:t>
      </w:r>
      <w:r>
        <w:rPr>
          <w:rStyle w:val="FootnoteReference"/>
        </w:rPr>
        <w:footnoteReference w:id="113"/>
      </w:r>
      <w:r>
        <w:rPr>
          <w:rFonts w:ascii="David" w:cs="David" w:eastAsia="David" w:hAnsi="David"/>
          <w:sz w:val="24"/>
          <w:szCs w:val="24"/>
          <w:rtl/>
        </w:rPr>
        <w:t xml:space="preserve"> טענת הגנה שווה קשה להוכחה, משום שנדרשת הוכחה של תוצאה מפלה ושל מטרה מפלה.</w:t>
      </w:r>
      <w:r>
        <w:rPr>
          <w:rStyle w:val="FootnoteReference"/>
        </w:rPr>
        <w:footnoteReference w:id="114"/>
      </w:r>
    </w:p>
    <w:p>
      <w:pPr>
        <w:bidi/>
        <w:spacing w:after="120" w:line="360"/>
        <w:ind w:firstLine="0"/>
        <w:jc w:val="both"/>
      </w:pPr>
      <w:r>
        <w:rPr>
          <w:rFonts w:ascii="David" w:cs="David" w:eastAsia="David" w:hAnsi="David"/>
          <w:sz w:val="24"/>
          <w:szCs w:val="24"/>
          <w:rtl/>
        </w:rPr>
        <w:t xml:space="preserve">חקירת משרד המשפטים בפרגוסון מצאה שהאכיפה הונעה משיקולי הכנסה, ושאפרו-אמריקאים היו 85% מן הנעצרים בעצירות רכב ו-93% מן העצורים, אף שהיו 67% מן האוכלוסייה.</w:t>
      </w:r>
      <w:r>
        <w:rPr>
          <w:rStyle w:val="FootnoteReference"/>
        </w:rPr>
        <w:footnoteReference w:id="115"/>
      </w:r>
      <w:r>
        <w:rPr>
          <w:rFonts w:ascii="David" w:cs="David" w:eastAsia="David" w:hAnsi="David"/>
          <w:sz w:val="24"/>
          <w:szCs w:val="24"/>
          <w:rtl/>
        </w:rPr>
        <w:t xml:space="preserve"> מנגנוני התיקון כוללים תביעה אזרחית נגד עובד ציבור, שבה רשות מקומית אחראית רק על מדיניות או נוהג שלה,</w:t>
      </w:r>
      <w:r>
        <w:rPr>
          <w:rStyle w:val="FootnoteReference"/>
        </w:rPr>
        <w:footnoteReference w:id="116"/>
      </w:r>
      <w:r>
        <w:rPr>
          <w:rFonts w:ascii="David" w:cs="David" w:eastAsia="David" w:hAnsi="David"/>
          <w:sz w:val="24"/>
          <w:szCs w:val="24"/>
          <w:rtl/>
        </w:rPr>
        <w:t xml:space="preserve"> סמכות פדרלית לתבוע נגד דפוס או נוהג של הפרת זכויות,</w:t>
      </w:r>
      <w:r>
        <w:rPr>
          <w:rStyle w:val="FootnoteReference"/>
        </w:rPr>
        <w:footnoteReference w:id="117"/>
      </w:r>
      <w:r>
        <w:rPr>
          <w:rFonts w:ascii="David" w:cs="David" w:eastAsia="David" w:hAnsi="David"/>
          <w:sz w:val="24"/>
          <w:szCs w:val="24"/>
          <w:rtl/>
        </w:rPr>
        <w:t xml:space="preserve"> ומינוי מפקח עצמאי בהליך שיפוטי.</w:t>
      </w:r>
      <w:r>
        <w:rPr>
          <w:rStyle w:val="FootnoteReference"/>
        </w:rPr>
        <w:footnoteReference w:id="118"/>
      </w:r>
      <w:r>
        <w:rPr>
          <w:rFonts w:ascii="David" w:cs="David" w:eastAsia="David" w:hAnsi="David"/>
          <w:sz w:val="24"/>
          <w:szCs w:val="24"/>
          <w:rtl/>
        </w:rPr>
        <w:t xml:space="preserve"> בצד ההגנה החסרה הכלים מעטים: בעניין </w:t>
      </w:r>
      <w:r>
        <w:rPr>
          <w:rFonts w:ascii="David" w:cs="David" w:eastAsia="David" w:hAnsi="David"/>
          <w:i/>
          <w:iCs/>
          <w:sz w:val="24"/>
          <w:szCs w:val="24"/>
          <w:rtl w:val="false"/>
        </w:rPr>
        <w:t xml:space="preserve">DeShaney‎</w:t>
      </w:r>
      <w:r>
        <w:rPr>
          <w:rFonts w:ascii="David" w:cs="David" w:eastAsia="David" w:hAnsi="David"/>
          <w:sz w:val="24"/>
          <w:szCs w:val="24"/>
          <w:rtl/>
        </w:rPr>
        <w:t xml:space="preserve"> נקבע שאין, ככלל, זכות חוקתית חיובית להגנת המדינה,</w:t>
      </w:r>
      <w:r>
        <w:rPr>
          <w:rStyle w:val="FootnoteReference"/>
        </w:rPr>
        <w:footnoteReference w:id="119"/>
      </w:r>
      <w:r>
        <w:rPr>
          <w:rFonts w:ascii="David" w:cs="David" w:eastAsia="David" w:hAnsi="David"/>
          <w:sz w:val="24"/>
          <w:szCs w:val="24"/>
          <w:rtl/>
        </w:rPr>
        <w:t xml:space="preserve"> ובעניין </w:t>
      </w:r>
      <w:r>
        <w:rPr>
          <w:rFonts w:ascii="David" w:cs="David" w:eastAsia="David" w:hAnsi="David"/>
          <w:i/>
          <w:iCs/>
          <w:sz w:val="24"/>
          <w:szCs w:val="24"/>
          <w:rtl w:val="false"/>
        </w:rPr>
        <w:t xml:space="preserve">Castle Rock‎</w:t>
      </w:r>
      <w:r>
        <w:rPr>
          <w:rFonts w:ascii="David" w:cs="David" w:eastAsia="David" w:hAnsi="David"/>
          <w:sz w:val="24"/>
          <w:szCs w:val="24"/>
          <w:rtl/>
        </w:rPr>
        <w:t xml:space="preserve"> נדחתה הטענה לזכות קניינית באכיפת צו הגנה.</w:t>
      </w:r>
      <w:r>
        <w:rPr>
          <w:rStyle w:val="FootnoteReference"/>
        </w:rPr>
        <w:footnoteReference w:id="120"/>
      </w:r>
      <w:r>
        <w:rPr>
          <w:rFonts w:ascii="David" w:cs="David" w:eastAsia="David" w:hAnsi="David"/>
          <w:sz w:val="24"/>
          <w:szCs w:val="24"/>
          <w:rtl/>
        </w:rPr>
        <w:t xml:space="preserve"> סגל מעריך שגם דיני הנזיקין אינם מספקים שם ביקורת אפקטיבית על רשויות.</w:t>
      </w:r>
      <w:r>
        <w:rPr>
          <w:rStyle w:val="FootnoteReference"/>
        </w:rPr>
        <w:footnoteReference w:id="121"/>
      </w:r>
      <w:r>
        <w:rPr>
          <w:rFonts w:ascii="David" w:cs="David" w:eastAsia="David" w:hAnsi="David"/>
          <w:sz w:val="24"/>
          <w:szCs w:val="24"/>
          <w:rtl/>
        </w:rPr>
        <w:t xml:space="preserve"> זהו חוסר האיזון שנטפוף הצביעה עליו. במקביל המליץ הצוות הנשיאותי לשיטור לאמץ את הוגנות ההליכים כעיקרון מנחה,</w:t>
      </w:r>
      <w:r>
        <w:rPr>
          <w:rStyle w:val="FootnoteReference"/>
        </w:rPr>
        <w:footnoteReference w:id="122"/>
      </w:r>
      <w:r>
        <w:rPr>
          <w:rFonts w:ascii="David" w:cs="David" w:eastAsia="David" w:hAnsi="David"/>
          <w:sz w:val="24"/>
          <w:szCs w:val="24"/>
          <w:rtl/>
        </w:rPr>
        <w:t xml:space="preserve"> ומדריך ההרתעה הממוקדת מדגיש שיש להעריך גם את הוגנות התוכנית, ושהרכיב הקהילתי הוא יסוד שלה.</w:t>
      </w:r>
      <w:r>
        <w:rPr>
          <w:rStyle w:val="FootnoteReference"/>
        </w:rPr>
        <w:footnoteReference w:id="123"/>
      </w:r>
    </w:p>
    <w:p>
      <w:pPr>
        <w:pStyle w:val="Heading2"/>
        <w:bidi/>
        <w:spacing w:after="160" w:before="240"/>
        <w:jc w:val="right"/>
      </w:pPr>
      <w:r>
        <w:rPr>
          <w:rFonts w:ascii="David" w:cs="David" w:eastAsia="David" w:hAnsi="David"/>
          <w:b/>
          <w:bCs/>
          <w:sz w:val="28"/>
          <w:szCs w:val="28"/>
          <w:rtl/>
        </w:rPr>
        <w:t xml:space="preserve">6.3 בריטניה: סמכויות עיכוב וחיפוש, שוויון ואחריותיות משטרתית</w:t>
      </w:r>
    </w:p>
    <w:p>
      <w:pPr>
        <w:bidi/>
        <w:spacing w:after="120" w:line="360"/>
        <w:ind w:firstLine="0"/>
        <w:jc w:val="both"/>
      </w:pPr>
      <w:r>
        <w:rPr>
          <w:rFonts w:ascii="David" w:cs="David" w:eastAsia="David" w:hAnsi="David"/>
          <w:sz w:val="24"/>
          <w:szCs w:val="24"/>
          <w:rtl/>
        </w:rPr>
        <w:t xml:space="preserve">באנגליה מותר לשוטר לערוך חיפוש כשיש לו יסוד סביר לחשוד שימצא חפץ גנוב או אסור,</w:t>
      </w:r>
      <w:r>
        <w:rPr>
          <w:rStyle w:val="FootnoteReference"/>
        </w:rPr>
        <w:footnoteReference w:id="124"/>
      </w:r>
      <w:r>
        <w:rPr>
          <w:rFonts w:ascii="David" w:cs="David" w:eastAsia="David" w:hAnsi="David"/>
          <w:sz w:val="24"/>
          <w:szCs w:val="24"/>
          <w:rtl/>
        </w:rPr>
        <w:t xml:space="preserve"> ורק במסלול חריג ניתן להסמיך חיפושים באזור מוגדר בלי חשד פרטני.</w:t>
      </w:r>
      <w:r>
        <w:rPr>
          <w:rStyle w:val="FootnoteReference"/>
        </w:rPr>
        <w:footnoteReference w:id="125"/>
      </w:r>
      <w:r>
        <w:rPr>
          <w:rFonts w:ascii="David" w:cs="David" w:eastAsia="David" w:hAnsi="David"/>
          <w:sz w:val="24"/>
          <w:szCs w:val="24"/>
          <w:rtl/>
        </w:rPr>
        <w:t xml:space="preserve"> בישראל, הגדרת פוליגון אינה מקנה סמכות מקבילה. קוד </w:t>
      </w:r>
      <w:r>
        <w:rPr>
          <w:rFonts w:ascii="David" w:cs="David" w:eastAsia="David" w:hAnsi="David"/>
          <w:sz w:val="24"/>
          <w:szCs w:val="24"/>
          <w:rtl w:val="false"/>
        </w:rPr>
        <w:t xml:space="preserve">A‎</w:t>
      </w:r>
      <w:r>
        <w:rPr>
          <w:rFonts w:ascii="David" w:cs="David" w:eastAsia="David" w:hAnsi="David"/>
          <w:sz w:val="24"/>
          <w:szCs w:val="24"/>
          <w:rtl/>
        </w:rPr>
        <w:t xml:space="preserve"> אוסר לבסס חשד סביר על מאפיינים אישיים, ובהיעדר תיאור של חשוד אוסר להסתמך על מראה חיצוני או על הכללות סטריאוטיפיות.</w:t>
      </w:r>
      <w:r>
        <w:rPr>
          <w:rStyle w:val="FootnoteReference"/>
        </w:rPr>
        <w:footnoteReference w:id="126"/>
      </w:r>
      <w:r>
        <w:rPr>
          <w:rFonts w:ascii="David" w:cs="David" w:eastAsia="David" w:hAnsi="David"/>
          <w:sz w:val="24"/>
          <w:szCs w:val="24"/>
          <w:rtl/>
        </w:rPr>
        <w:t xml:space="preserve"> חוק השוויון מחייב רשות ציבורית לתת משקל ראוי למניעת אפליה.</w:t>
      </w:r>
      <w:r>
        <w:rPr>
          <w:rStyle w:val="FootnoteReference"/>
        </w:rPr>
        <w:footnoteReference w:id="127"/>
      </w:r>
      <w:r>
        <w:rPr>
          <w:rFonts w:ascii="David" w:cs="David" w:eastAsia="David" w:hAnsi="David"/>
          <w:sz w:val="24"/>
          <w:szCs w:val="24"/>
          <w:rtl/>
        </w:rPr>
        <w:t xml:space="preserve"> הקוד מחייב פיקוח שוטף על הרישומים כדי לזהות דפוסים בלתי מידתיים, ובחינה שלהם בידי נציגי הקהילה,</w:t>
      </w:r>
      <w:r>
        <w:rPr>
          <w:rStyle w:val="FootnoteReference"/>
        </w:rPr>
        <w:footnoteReference w:id="128"/>
      </w:r>
      <w:r>
        <w:rPr>
          <w:rFonts w:ascii="David" w:cs="David" w:eastAsia="David" w:hAnsi="David"/>
          <w:sz w:val="24"/>
          <w:szCs w:val="24"/>
          <w:rtl/>
        </w:rPr>
        <w:t xml:space="preserve"> והחוק מחייב את השוטר להזדהות, להסביר את הבסיס לחיפוש ולרשום אותו.</w:t>
      </w:r>
      <w:r>
        <w:rPr>
          <w:rStyle w:val="FootnoteReference"/>
        </w:rPr>
        <w:footnoteReference w:id="129"/>
      </w:r>
    </w:p>
    <w:p>
      <w:pPr>
        <w:bidi/>
        <w:spacing w:after="120" w:line="360"/>
        <w:ind w:firstLine="0"/>
        <w:jc w:val="both"/>
      </w:pPr>
      <w:r>
        <w:rPr>
          <w:rFonts w:ascii="David" w:cs="David" w:eastAsia="David" w:hAnsi="David"/>
          <w:sz w:val="24"/>
          <w:szCs w:val="24"/>
          <w:rtl/>
        </w:rPr>
        <w:t xml:space="preserve">דוח מקפרסון הגדיר גזענות ממסדית ככישלון קולקטיבי של ארגון, שיכול לנבוע מדעה קדומה לא מודעת ומסטריאוטיפים ולא רק מכוונה,</w:t>
      </w:r>
      <w:r>
        <w:rPr>
          <w:rStyle w:val="FootnoteReference"/>
        </w:rPr>
        <w:footnoteReference w:id="130"/>
      </w:r>
      <w:r>
        <w:rPr>
          <w:rFonts w:ascii="David" w:cs="David" w:eastAsia="David" w:hAnsi="David"/>
          <w:sz w:val="24"/>
          <w:szCs w:val="24"/>
          <w:rtl/>
        </w:rPr>
        <w:t xml:space="preserve"> והמליץ לרשום כל עיכוב, את סיבתו, את תוצאתו ואת הזהות האתנית שהאדם מגדיר לעצמו, ולמסור לו עותק.</w:t>
      </w:r>
      <w:r>
        <w:rPr>
          <w:rStyle w:val="FootnoteReference"/>
        </w:rPr>
        <w:footnoteReference w:id="131"/>
      </w:r>
      <w:r>
        <w:rPr>
          <w:rFonts w:ascii="David" w:cs="David" w:eastAsia="David" w:hAnsi="David"/>
          <w:sz w:val="24"/>
          <w:szCs w:val="24"/>
          <w:rtl/>
        </w:rPr>
        <w:t xml:space="preserve"> בעניין </w:t>
      </w:r>
      <w:r>
        <w:rPr>
          <w:rFonts w:ascii="David" w:cs="David" w:eastAsia="David" w:hAnsi="David"/>
          <w:i/>
          <w:iCs/>
          <w:sz w:val="24"/>
          <w:szCs w:val="24"/>
          <w:rtl w:val="false"/>
        </w:rPr>
        <w:t xml:space="preserve">Roberts‎</w:t>
      </w:r>
      <w:r>
        <w:rPr>
          <w:rFonts w:ascii="David" w:cs="David" w:eastAsia="David" w:hAnsi="David"/>
          <w:sz w:val="24"/>
          <w:szCs w:val="24"/>
          <w:rtl/>
        </w:rPr>
        <w:t xml:space="preserve"> הכיר בית המשפט העליון בכך שחיפוש ללא חשד עלול להיות מופעל באופן מפלה, אך מצא שמערך הבקרות, הסמכה בכתב, שקילת מידתיות, הגבלה בזמן ובמקום וכפיפות לביקורת, מכשיר אותו. עוד קבע שבסוף ההסמכה יש להעריך את המבצע גם לפי חוסר המידתיות ואמון הקהילה.</w:t>
      </w:r>
      <w:r>
        <w:rPr>
          <w:rStyle w:val="FootnoteReference"/>
        </w:rPr>
        <w:footnoteReference w:id="132"/>
      </w:r>
    </w:p>
    <w:p>
      <w:pPr>
        <w:bidi/>
        <w:spacing w:after="120" w:line="360"/>
        <w:ind w:firstLine="0"/>
        <w:jc w:val="both"/>
      </w:pPr>
      <w:r>
        <w:rPr>
          <w:rFonts w:ascii="David" w:cs="David" w:eastAsia="David" w:hAnsi="David"/>
          <w:sz w:val="24"/>
          <w:szCs w:val="24"/>
          <w:rtl/>
        </w:rPr>
        <w:t xml:space="preserve">הפער בין הכללים ליישום נותר גדול. מפקח המשטרה מצא בשנת 2021 שאף משטרה אינה יכולה להסביר את חוסר המידתיות, ושהיעדר רישום של המוצא האתני מסתיר את היקפו.</w:t>
      </w:r>
      <w:r>
        <w:rPr>
          <w:rStyle w:val="FootnoteReference"/>
        </w:rPr>
        <w:footnoteReference w:id="133"/>
      </w:r>
      <w:r>
        <w:rPr>
          <w:rFonts w:ascii="David" w:cs="David" w:eastAsia="David" w:hAnsi="David"/>
          <w:sz w:val="24"/>
          <w:szCs w:val="24"/>
          <w:rtl/>
        </w:rPr>
        <w:t xml:space="preserve"> ניתוח משנת 2026 מצא שהסיכוי של אדם שחור לעבור עיכוב וחיפוש גבוה פי ארבעה, ושבלונדון שני שלישים מן החיפושים מסתיימים בלי פעולה נוספת.</w:t>
      </w:r>
      <w:r>
        <w:rPr>
          <w:rStyle w:val="FootnoteReference"/>
        </w:rPr>
        <w:footnoteReference w:id="134"/>
      </w:r>
      <w:r>
        <w:rPr>
          <w:rFonts w:ascii="David" w:cs="David" w:eastAsia="David" w:hAnsi="David"/>
          <w:sz w:val="24"/>
          <w:szCs w:val="24"/>
          <w:rtl/>
        </w:rPr>
        <w:t xml:space="preserve"> דוח לאמי הציע כלל של "הסבר או רפורמה" לפערים אתניים.</w:t>
      </w:r>
      <w:r>
        <w:rPr>
          <w:rStyle w:val="FootnoteReference"/>
        </w:rPr>
        <w:footnoteReference w:id="135"/>
      </w:r>
      <w:r>
        <w:rPr>
          <w:rFonts w:ascii="David" w:cs="David" w:eastAsia="David" w:hAnsi="David"/>
          <w:sz w:val="24"/>
          <w:szCs w:val="24"/>
          <w:rtl/>
        </w:rPr>
        <w:t xml:space="preserve"> בצד ההגנה החסרה, בעניין </w:t>
      </w:r>
      <w:r>
        <w:rPr>
          <w:rFonts w:ascii="David" w:cs="David" w:eastAsia="David" w:hAnsi="David"/>
          <w:i/>
          <w:iCs/>
          <w:sz w:val="24"/>
          <w:szCs w:val="24"/>
          <w:rtl w:val="false"/>
        </w:rPr>
        <w:t xml:space="preserve">Michael‎</w:t>
      </w:r>
      <w:r>
        <w:rPr>
          <w:rFonts w:ascii="David" w:cs="David" w:eastAsia="David" w:hAnsi="David"/>
          <w:sz w:val="24"/>
          <w:szCs w:val="24"/>
          <w:rtl/>
        </w:rPr>
        <w:t xml:space="preserve"> נקבע שככלל אין למשטרה חובת זהירות כלפי מי שנפגע מעבריין,</w:t>
      </w:r>
      <w:r>
        <w:rPr>
          <w:rStyle w:val="FootnoteReference"/>
        </w:rPr>
        <w:footnoteReference w:id="136"/>
      </w:r>
      <w:r>
        <w:rPr>
          <w:rFonts w:ascii="David" w:cs="David" w:eastAsia="David" w:hAnsi="David"/>
          <w:sz w:val="24"/>
          <w:szCs w:val="24"/>
          <w:rtl/>
        </w:rPr>
        <w:t xml:space="preserve"> אך בעניין </w:t>
      </w:r>
      <w:r>
        <w:rPr>
          <w:rFonts w:ascii="David" w:cs="David" w:eastAsia="David" w:hAnsi="David"/>
          <w:i/>
          <w:iCs/>
          <w:sz w:val="24"/>
          <w:szCs w:val="24"/>
          <w:rtl w:val="false"/>
        </w:rPr>
        <w:t xml:space="preserve">DSD‎</w:t>
      </w:r>
      <w:r>
        <w:rPr>
          <w:rFonts w:ascii="David" w:cs="David" w:eastAsia="David" w:hAnsi="David"/>
          <w:sz w:val="24"/>
          <w:szCs w:val="24"/>
          <w:rtl/>
        </w:rPr>
        <w:t xml:space="preserve"> נקבע שכשלים מבצעיים חמורים בחקירה מפרים את חובת החקירה מכוח חוק זכויות האדם.</w:t>
      </w:r>
      <w:r>
        <w:rPr>
          <w:rStyle w:val="FootnoteReference"/>
        </w:rPr>
        <w:footnoteReference w:id="137"/>
      </w:r>
    </w:p>
    <w:p>
      <w:pPr>
        <w:pStyle w:val="Heading2"/>
        <w:bidi/>
        <w:spacing w:after="160" w:before="240"/>
        <w:jc w:val="right"/>
      </w:pPr>
      <w:r>
        <w:rPr>
          <w:rFonts w:ascii="David" w:cs="David" w:eastAsia="David" w:hAnsi="David"/>
          <w:b/>
          <w:bCs/>
          <w:sz w:val="28"/>
          <w:szCs w:val="28"/>
          <w:rtl/>
        </w:rPr>
        <w:t xml:space="preserve">6.4 מסקנות ההשוואה והשלכותיהן על רפורמת אמו"ן</w:t>
      </w:r>
    </w:p>
    <w:p>
      <w:pPr>
        <w:bidi/>
        <w:spacing w:after="120" w:line="360"/>
        <w:ind w:firstLine="0"/>
        <w:jc w:val="both"/>
      </w:pPr>
      <w:r>
        <w:rPr>
          <w:rFonts w:ascii="David" w:cs="David" w:eastAsia="David" w:hAnsi="David"/>
          <w:sz w:val="24"/>
          <w:szCs w:val="24"/>
          <w:rtl/>
        </w:rPr>
        <w:t xml:space="preserve">ראשית, בחירת יעד מבוססת נתונים, כפי שאמו"ן דורשת, אינה מספיקה בלי כללים להפעלת הסמכות בתוך האזור שנבחר. שנית, האיסור לבסס חשד על מאפיינים אישיים קיים גם בישראל, מכוח עניין </w:t>
      </w:r>
      <w:r>
        <w:rPr>
          <w:rFonts w:ascii="David" w:cs="David" w:eastAsia="David" w:hAnsi="David"/>
          <w:b/>
          <w:bCs/>
          <w:sz w:val="24"/>
          <w:szCs w:val="24"/>
          <w:rtl/>
        </w:rPr>
        <w:t xml:space="preserve">טבקה</w:t>
      </w:r>
      <w:r>
        <w:rPr>
          <w:rFonts w:ascii="David" w:cs="David" w:eastAsia="David" w:hAnsi="David"/>
          <w:sz w:val="24"/>
          <w:szCs w:val="24"/>
          <w:rtl/>
        </w:rPr>
        <w:t xml:space="preserve">,</w:t>
      </w:r>
      <w:r>
        <w:rPr>
          <w:rStyle w:val="FootnoteReference"/>
        </w:rPr>
        <w:footnoteReference w:id="138"/>
      </w:r>
      <w:r>
        <w:rPr>
          <w:rFonts w:ascii="David" w:cs="David" w:eastAsia="David" w:hAnsi="David"/>
          <w:sz w:val="24"/>
          <w:szCs w:val="24"/>
          <w:rtl/>
        </w:rPr>
        <w:t xml:space="preserve"> אך באנגליה הוא הוראת עבודה יומיומית ולא רק כלל שיפוטי שמופעל בדיעבד. שלישית, התיעוד מרסן את השוטר בזמן אמת ויוצר את הנתונים שבלעדיהם אי אפשר לזהות פערים; בלי תיעוד, הפערים אינם נעלמים אלא רק מפסיקים להיות מדידים.</w:t>
      </w:r>
      <w:r>
        <w:rPr>
          <w:rStyle w:val="FootnoteReference"/>
        </w:rPr>
        <w:footnoteReference w:id="139"/>
      </w:r>
      <w:r>
        <w:rPr>
          <w:rFonts w:ascii="David" w:cs="David" w:eastAsia="David" w:hAnsi="David"/>
          <w:sz w:val="24"/>
          <w:szCs w:val="24"/>
          <w:rtl/>
        </w:rPr>
        <w:t xml:space="preserve"> רביעית, נדרש גורם שבודק את המדידה, בין בבחינה קהילתית, בין בכלל של הסבר או רפורמה ובין במפקח חיצוני. מערכת המדידה של אמו"ן אינה מודדת את התפלגות המפגשים בין קבוצות,</w:t>
      </w:r>
      <w:r>
        <w:rPr>
          <w:rStyle w:val="FootnoteReference"/>
        </w:rPr>
        <w:footnoteReference w:id="140"/>
      </w:r>
      <w:r>
        <w:rPr>
          <w:rFonts w:ascii="David" w:cs="David" w:eastAsia="David" w:hAnsi="David"/>
          <w:sz w:val="24"/>
          <w:szCs w:val="24"/>
          <w:rtl/>
        </w:rPr>
        <w:t xml:space="preserve"> אך היא יכולה לשמש בסיס להרחבה כזו.</w:t>
      </w:r>
    </w:p>
    <w:p>
      <w:pPr>
        <w:bidi/>
        <w:spacing w:after="120" w:line="360"/>
        <w:ind w:firstLine="0"/>
        <w:jc w:val="both"/>
      </w:pPr>
      <w:r>
        <w:rPr>
          <w:rFonts w:ascii="David" w:cs="David" w:eastAsia="David" w:hAnsi="David"/>
          <w:sz w:val="24"/>
          <w:szCs w:val="24"/>
          <w:rtl/>
        </w:rPr>
        <w:t xml:space="preserve">בשאלת ההגנה החסרה, בישראל קיימת מגמה של אחריות נזיקית רחבה יותר של רשויות,</w:t>
      </w:r>
      <w:r>
        <w:rPr>
          <w:rStyle w:val="FootnoteReference"/>
        </w:rPr>
        <w:footnoteReference w:id="141"/>
      </w:r>
      <w:r>
        <w:rPr>
          <w:rFonts w:ascii="David" w:cs="David" w:eastAsia="David" w:hAnsi="David"/>
          <w:sz w:val="24"/>
          <w:szCs w:val="24"/>
          <w:rtl/>
        </w:rPr>
        <w:t xml:space="preserve"> אם כי גם כאן מבחינה הפסיקה בין קביעת סדרי עדיפויות לבין ביצוע פעולה מסוימת.</w:t>
      </w:r>
      <w:r>
        <w:rPr>
          <w:rStyle w:val="FootnoteReference"/>
        </w:rPr>
        <w:footnoteReference w:id="142"/>
      </w:r>
      <w:r>
        <w:rPr>
          <w:rFonts w:ascii="David" w:cs="David" w:eastAsia="David" w:hAnsi="David"/>
          <w:sz w:val="24"/>
          <w:szCs w:val="24"/>
          <w:rtl/>
        </w:rPr>
        <w:t xml:space="preserve"> שיעור כתבי אישום של 3% עד 5% בעבירות ירי אינו מקים כשלעצמו עילה, אך מצדיק דיון בחובות המשטרה ובביקורת על מילוין. ההשוואה מחייבת זהירות, משום שהפערים בארצות הברית ובבריטניה נטועים בהיסטוריה ובמוסדות אחרים. מה שאפשר לאמץ אינו התוצאה אלא השיטה: לתעד, לפרסם, להשוות בין קבוצות ולהסביר או לתקן.</w:t>
      </w:r>
    </w:p>
    <w:p>
      <w:pPr>
        <w:pStyle w:val="Heading1"/>
        <w:pageBreakBefore/>
        <w:bidi/>
        <w:spacing w:after="160" w:before="240"/>
        <w:jc w:val="center"/>
      </w:pPr>
      <w:r>
        <w:rPr>
          <w:rFonts w:ascii="David" w:cs="David" w:eastAsia="David" w:hAnsi="David"/>
          <w:b/>
          <w:bCs/>
          <w:sz w:val="32"/>
          <w:szCs w:val="32"/>
          <w:rtl/>
        </w:rPr>
        <w:t xml:space="preserve">7. דיון: כשל במודל העקרוני או כשל ביישום?</w:t>
      </w:r>
    </w:p>
    <w:p>
      <w:pPr>
        <w:pStyle w:val="Heading2"/>
        <w:bidi/>
        <w:spacing w:after="160" w:before="240"/>
        <w:jc w:val="right"/>
      </w:pPr>
      <w:r>
        <w:rPr>
          <w:rFonts w:ascii="David" w:cs="David" w:eastAsia="David" w:hAnsi="David"/>
          <w:b/>
          <w:bCs/>
          <w:sz w:val="28"/>
          <w:szCs w:val="28"/>
          <w:rtl/>
        </w:rPr>
        <w:t xml:space="preserve">7.1 תוקפו של המודל העקרוני</w:t>
      </w:r>
    </w:p>
    <w:p>
      <w:pPr>
        <w:bidi/>
        <w:spacing w:after="120" w:line="360"/>
        <w:ind w:firstLine="0"/>
        <w:jc w:val="both"/>
      </w:pPr>
      <w:r>
        <w:rPr>
          <w:rFonts w:ascii="David" w:cs="David" w:eastAsia="David" w:hAnsi="David"/>
          <w:sz w:val="24"/>
          <w:szCs w:val="24"/>
          <w:rtl/>
        </w:rPr>
        <w:t xml:space="preserve">הראיות אינן תומכות בייחוס הקשיים למודל העקרוני עצמו. שיטור מוכוון בעיות נמצא קשור לירידה מובהקת בפשיעה על פני 34 מחקרים ובסוגי בעיות שונים,</w:t>
      </w:r>
      <w:r>
        <w:rPr>
          <w:rStyle w:val="FootnoteReference"/>
        </w:rPr>
        <w:footnoteReference w:id="143"/>
      </w:r>
      <w:r>
        <w:rPr>
          <w:rFonts w:ascii="David" w:cs="David" w:eastAsia="David" w:hAnsi="David"/>
          <w:sz w:val="24"/>
          <w:szCs w:val="24"/>
          <w:rtl/>
        </w:rPr>
        <w:t xml:space="preserve"> וגם שיטור נקודות חמות והרתעה ממוקדת נמצאו יעילים.</w:t>
      </w:r>
      <w:r>
        <w:rPr>
          <w:rStyle w:val="FootnoteReference"/>
        </w:rPr>
        <w:footnoteReference w:id="144"/>
      </w:r>
      <w:r>
        <w:rPr>
          <w:rFonts w:ascii="David" w:cs="David" w:eastAsia="David" w:hAnsi="David"/>
          <w:sz w:val="24"/>
          <w:szCs w:val="24"/>
          <w:rtl/>
        </w:rPr>
        <w:t xml:space="preserve"> בישראל הושגו תוצאות חיוביות בסל הרכוש,</w:t>
      </w:r>
      <w:r>
        <w:rPr>
          <w:rStyle w:val="FootnoteReference"/>
        </w:rPr>
        <w:footnoteReference w:id="145"/>
      </w:r>
      <w:r>
        <w:rPr>
          <w:rFonts w:ascii="David" w:cs="David" w:eastAsia="David" w:hAnsi="David"/>
          <w:sz w:val="24"/>
          <w:szCs w:val="24"/>
          <w:rtl/>
        </w:rPr>
        <w:t xml:space="preserve"> והחוקרים עצמם ייחסו את הכישלונות בסלי האלימות והירי ליישום חלקי ולתוכניות שאינן שלמות.</w:t>
      </w:r>
      <w:r>
        <w:rPr>
          <w:rStyle w:val="FootnoteReference"/>
        </w:rPr>
        <w:footnoteReference w:id="146"/>
      </w:r>
      <w:r>
        <w:rPr>
          <w:rFonts w:ascii="David" w:cs="David" w:eastAsia="David" w:hAnsi="David"/>
          <w:sz w:val="24"/>
          <w:szCs w:val="24"/>
          <w:rtl/>
        </w:rPr>
        <w:t xml:space="preserve"> עם זאת, הצלחה בסל אחד אינה מוכיחה שכל קושי בסל אחר נובע מביצוע לקוי; הבדלים עשויים לנבוע גם מסוג העבירה ומהתאמת הכלים אליה.</w:t>
      </w:r>
    </w:p>
    <w:p>
      <w:pPr>
        <w:bidi/>
        <w:spacing w:after="120" w:line="360"/>
        <w:ind w:firstLine="0"/>
        <w:jc w:val="both"/>
      </w:pPr>
      <w:r>
        <w:rPr>
          <w:rFonts w:ascii="David" w:cs="David" w:eastAsia="David" w:hAnsi="David"/>
          <w:sz w:val="24"/>
          <w:szCs w:val="24"/>
          <w:rtl/>
        </w:rPr>
        <w:t xml:space="preserve">תוקף כללי של מודל אינו מבטיח שהוא שלם. אסטרטגיות יזומות עלולות לשחוק ערכים משפטיים גם בלי להפר את החוקה, ומיקוד בסיכון גבוה צפוי ליצור פערים במפגשים.</w:t>
      </w:r>
      <w:r>
        <w:rPr>
          <w:rStyle w:val="FootnoteReference"/>
        </w:rPr>
        <w:footnoteReference w:id="147"/>
      </w:r>
      <w:r>
        <w:rPr>
          <w:rFonts w:ascii="David" w:cs="David" w:eastAsia="David" w:hAnsi="David"/>
          <w:sz w:val="24"/>
          <w:szCs w:val="24"/>
          <w:rtl/>
        </w:rPr>
        <w:t xml:space="preserve"> מנגד, בהתערבויות של פתרון בעיות כמעט לא נמצאו השפעות שליליות על עמדות הציבור, בשונה מהתערבויות ממוקדות אנשים.</w:t>
      </w:r>
      <w:r>
        <w:rPr>
          <w:rStyle w:val="FootnoteReference"/>
        </w:rPr>
        <w:footnoteReference w:id="148"/>
      </w:r>
      <w:r>
        <w:rPr>
          <w:rFonts w:ascii="David" w:cs="David" w:eastAsia="David" w:hAnsi="David"/>
          <w:sz w:val="24"/>
          <w:szCs w:val="24"/>
          <w:rtl/>
        </w:rPr>
        <w:t xml:space="preserve"> לכן יש לבדוק אילו פעולות נכללות בפועל בתוכניות של אמו"ן, ולא להסתפק בשם "פתרון בעיות".</w:t>
      </w:r>
    </w:p>
    <w:p>
      <w:pPr>
        <w:pStyle w:val="Heading2"/>
        <w:bidi/>
        <w:spacing w:after="160" w:before="240"/>
        <w:jc w:val="right"/>
      </w:pPr>
      <w:r>
        <w:rPr>
          <w:rFonts w:ascii="David" w:cs="David" w:eastAsia="David" w:hAnsi="David"/>
          <w:b/>
          <w:bCs/>
          <w:sz w:val="28"/>
          <w:szCs w:val="28"/>
          <w:rtl/>
        </w:rPr>
        <w:t xml:space="preserve">7.2 כשלי היישום בשלבי הסריקה, הניתוח, התגובה וההערכה</w:t>
      </w:r>
    </w:p>
    <w:p>
      <w:pPr>
        <w:bidi/>
        <w:spacing w:after="120" w:line="360"/>
        <w:ind w:firstLine="0"/>
        <w:jc w:val="both"/>
      </w:pPr>
      <w:r>
        <w:rPr>
          <w:rFonts w:ascii="David" w:cs="David" w:eastAsia="David" w:hAnsi="David"/>
          <w:sz w:val="24"/>
          <w:szCs w:val="24"/>
          <w:rtl/>
        </w:rPr>
        <w:t xml:space="preserve">בכל אחד מארבעת שלבי המודל נמצא כשל. בשלב הסריקה, רף מספרי לאישור פוליגון הוביל להרחבת הבעיות והאזורים, עד כדי הגדרת יישוב שלם כפוליגון,</w:t>
      </w:r>
      <w:r>
        <w:rPr>
          <w:rStyle w:val="FootnoteReference"/>
        </w:rPr>
        <w:footnoteReference w:id="149"/>
      </w:r>
      <w:r>
        <w:rPr>
          <w:rFonts w:ascii="David" w:cs="David" w:eastAsia="David" w:hAnsi="David"/>
          <w:sz w:val="24"/>
          <w:szCs w:val="24"/>
          <w:rtl/>
        </w:rPr>
        <w:t xml:space="preserve"> בניגוד לדרישה של אק וספלמן להתמקד בבעיות מוגדרות.</w:t>
      </w:r>
      <w:r>
        <w:rPr>
          <w:rStyle w:val="FootnoteReference"/>
        </w:rPr>
        <w:footnoteReference w:id="150"/>
      </w:r>
      <w:r>
        <w:rPr>
          <w:rFonts w:ascii="David" w:cs="David" w:eastAsia="David" w:hAnsi="David"/>
          <w:sz w:val="24"/>
          <w:szCs w:val="24"/>
          <w:rtl/>
        </w:rPr>
        <w:t xml:space="preserve"> בשלב הניתוח נחסם המיקוד המרחבי ביישובים ערביים בגלל מגבלה בתשתית המידע.</w:t>
      </w:r>
      <w:r>
        <w:rPr>
          <w:rStyle w:val="FootnoteReference"/>
        </w:rPr>
        <w:footnoteReference w:id="151"/>
      </w:r>
      <w:r>
        <w:rPr>
          <w:rFonts w:ascii="David" w:cs="David" w:eastAsia="David" w:hAnsi="David"/>
          <w:sz w:val="24"/>
          <w:szCs w:val="24"/>
          <w:rtl/>
        </w:rPr>
        <w:t xml:space="preserve"> זהו פער באפקטיביות בין אוכלוסיות שנוצר בלי כוונה מפלה, ולכן גם גישה שווה לכלי ניתוח היא שאלה של שוויון. בשלב התגובה חסרו בחבילת ההרתעה הממוקדת המפגש עם העבריינים והרכיב השיקומי,</w:t>
      </w:r>
      <w:r>
        <w:rPr>
          <w:rStyle w:val="FootnoteReference"/>
        </w:rPr>
        <w:footnoteReference w:id="152"/>
      </w:r>
      <w:r>
        <w:rPr>
          <w:rFonts w:ascii="David" w:cs="David" w:eastAsia="David" w:hAnsi="David"/>
          <w:sz w:val="24"/>
          <w:szCs w:val="24"/>
          <w:rtl/>
        </w:rPr>
        <w:t xml:space="preserve"> אף שהרכיב הקהילתי הוא יסוד של התוכנית.</w:t>
      </w:r>
      <w:r>
        <w:rPr>
          <w:rStyle w:val="FootnoteReference"/>
        </w:rPr>
        <w:footnoteReference w:id="153"/>
      </w:r>
      <w:r>
        <w:rPr>
          <w:rFonts w:ascii="David" w:cs="David" w:eastAsia="David" w:hAnsi="David"/>
          <w:sz w:val="24"/>
          <w:szCs w:val="24"/>
          <w:rtl/>
        </w:rPr>
        <w:t xml:space="preserve"> בשלב ההערכה לא נמצא מתאם בין ציון ביצוע התוכנית לבין ירידה בפשיעה,</w:t>
      </w:r>
      <w:r>
        <w:rPr>
          <w:rStyle w:val="FootnoteReference"/>
        </w:rPr>
        <w:footnoteReference w:id="154"/>
      </w:r>
      <w:r>
        <w:rPr>
          <w:rFonts w:ascii="David" w:cs="David" w:eastAsia="David" w:hAnsi="David"/>
          <w:sz w:val="24"/>
          <w:szCs w:val="24"/>
          <w:rtl/>
        </w:rPr>
        <w:t xml:space="preserve"> כלומר רפורמה שהתחייבה למדוד תוצאות מדדה בפועל תפוקות.</w:t>
      </w:r>
    </w:p>
    <w:p>
      <w:pPr>
        <w:bidi/>
        <w:spacing w:after="120" w:line="360"/>
        <w:ind w:firstLine="0"/>
        <w:jc w:val="both"/>
      </w:pPr>
      <w:r>
        <w:rPr>
          <w:rFonts w:ascii="David" w:cs="David" w:eastAsia="David" w:hAnsi="David"/>
          <w:sz w:val="24"/>
          <w:szCs w:val="24"/>
          <w:rtl/>
        </w:rPr>
        <w:t xml:space="preserve">מחסור במשאבים חוצה את כל הכשלים: בסל הרכוש לא נמצא שיפור בתחנה הדלה במשאבים,</w:t>
      </w:r>
      <w:r>
        <w:rPr>
          <w:rStyle w:val="FootnoteReference"/>
        </w:rPr>
        <w:footnoteReference w:id="155"/>
      </w:r>
      <w:r>
        <w:rPr>
          <w:rFonts w:ascii="David" w:cs="David" w:eastAsia="David" w:hAnsi="David"/>
          <w:sz w:val="24"/>
          <w:szCs w:val="24"/>
          <w:rtl/>
        </w:rPr>
        <w:t xml:space="preserve"> ובסל הירי דיווחו התחנות על פער בין המשאבים לבין היקף הבעיה.</w:t>
      </w:r>
      <w:r>
        <w:rPr>
          <w:rStyle w:val="FootnoteReference"/>
        </w:rPr>
        <w:footnoteReference w:id="156"/>
      </w:r>
      <w:r>
        <w:rPr>
          <w:rFonts w:ascii="David" w:cs="David" w:eastAsia="David" w:hAnsi="David"/>
          <w:sz w:val="24"/>
          <w:szCs w:val="24"/>
          <w:rtl/>
        </w:rPr>
        <w:t xml:space="preserve"> מבקר המדינה מצא את אותו פער בין המערכים המבצעיים לבין מספר החוקרים.</w:t>
      </w:r>
      <w:r>
        <w:rPr>
          <w:rStyle w:val="FootnoteReference"/>
        </w:rPr>
        <w:footnoteReference w:id="157"/>
      </w:r>
      <w:r>
        <w:rPr>
          <w:rFonts w:ascii="David" w:cs="David" w:eastAsia="David" w:hAnsi="David"/>
          <w:sz w:val="24"/>
          <w:szCs w:val="24"/>
          <w:rtl/>
        </w:rPr>
        <w:t xml:space="preserve"> כשלי הסריקה וההערכה הם כשלים בעיצוב הכלי הארגוני, ואפשר לתקנם בנהלים. כשלי הניתוח והתגובה תלויים בתשתית ובמשאבים, ותיקונם דורש השקעה ארוכת טווח.</w:t>
      </w:r>
    </w:p>
    <w:p>
      <w:pPr>
        <w:pStyle w:val="Heading2"/>
        <w:bidi/>
        <w:spacing w:after="160" w:before="240"/>
        <w:jc w:val="right"/>
      </w:pPr>
      <w:r>
        <w:rPr>
          <w:rFonts w:ascii="David" w:cs="David" w:eastAsia="David" w:hAnsi="David"/>
          <w:b/>
          <w:bCs/>
          <w:sz w:val="28"/>
          <w:szCs w:val="28"/>
          <w:rtl/>
        </w:rPr>
        <w:t xml:space="preserve">7.3 הפער בין מדדי פעילות, הפחתת עבריינות ואיכות האכיפה</w:t>
      </w:r>
    </w:p>
    <w:p>
      <w:pPr>
        <w:bidi/>
        <w:spacing w:after="120" w:line="360"/>
        <w:ind w:firstLine="0"/>
        <w:jc w:val="both"/>
      </w:pPr>
      <w:r>
        <w:rPr>
          <w:rFonts w:ascii="David" w:cs="David" w:eastAsia="David" w:hAnsi="David"/>
          <w:sz w:val="24"/>
          <w:szCs w:val="24"/>
          <w:rtl/>
        </w:rPr>
        <w:t xml:space="preserve">עלייה במעצרים אינה מעידה בהכרח על עלייה בעבריינות,</w:t>
      </w:r>
      <w:r>
        <w:rPr>
          <w:rStyle w:val="FootnoteReference"/>
        </w:rPr>
        <w:footnoteReference w:id="158"/>
      </w:r>
      <w:r>
        <w:rPr>
          <w:rFonts w:ascii="David" w:cs="David" w:eastAsia="David" w:hAnsi="David"/>
          <w:sz w:val="24"/>
          <w:szCs w:val="24"/>
          <w:rtl/>
        </w:rPr>
        <w:t xml:space="preserve"> וירידה בתלונות יכולה לשקף ירידה בפשיעה או ירידה בנכונות להתלונן. שיעור כתבי אישום של 3% עד 5% בעבירות ירי מעורר שאלה על ההגנה שקיבלה החברה הערבית,</w:t>
      </w:r>
      <w:r>
        <w:rPr>
          <w:rStyle w:val="FootnoteReference"/>
        </w:rPr>
        <w:footnoteReference w:id="159"/>
      </w:r>
      <w:r>
        <w:rPr>
          <w:rFonts w:ascii="David" w:cs="David" w:eastAsia="David" w:hAnsi="David"/>
          <w:sz w:val="24"/>
          <w:szCs w:val="24"/>
          <w:rtl/>
        </w:rPr>
        <w:t xml:space="preserve"> והכלי שהציע מסמך הכנסת, השוואה של שיעור ההמרה ממעצר ומתיק לכתב אישום בין קבוצות,</w:t>
      </w:r>
      <w:r>
        <w:rPr>
          <w:rStyle w:val="FootnoteReference"/>
        </w:rPr>
        <w:footnoteReference w:id="160"/>
      </w:r>
      <w:r>
        <w:rPr>
          <w:rFonts w:ascii="David" w:cs="David" w:eastAsia="David" w:hAnsi="David"/>
          <w:sz w:val="24"/>
          <w:szCs w:val="24"/>
          <w:rtl/>
        </w:rPr>
        <w:t xml:space="preserve"> מתאים גם להערכת אמו"ן: שיעור המרה נמוך מעיד על קשיים בחקירה, ופער בין קבוצות עשוי להעיד על סף שונה לפתיחת תיק.</w:t>
      </w:r>
    </w:p>
    <w:p>
      <w:pPr>
        <w:bidi/>
        <w:spacing w:after="120" w:line="360"/>
        <w:ind w:firstLine="0"/>
        <w:jc w:val="both"/>
      </w:pPr>
      <w:r>
        <w:rPr>
          <w:rFonts w:ascii="David" w:cs="David" w:eastAsia="David" w:hAnsi="David"/>
          <w:sz w:val="24"/>
          <w:szCs w:val="24"/>
          <w:rtl/>
        </w:rPr>
        <w:t xml:space="preserve">כל עוד תחנה נמדדת לפי היקף הפעילות ולא לפי התוצאה המשפטית, הרפורמה עלולה לתגמל את הדפוס שגולדשטיין הזהיר מפניו,</w:t>
      </w:r>
      <w:r>
        <w:rPr>
          <w:rStyle w:val="FootnoteReference"/>
        </w:rPr>
        <w:footnoteReference w:id="161"/>
      </w:r>
      <w:r>
        <w:rPr>
          <w:rFonts w:ascii="David" w:cs="David" w:eastAsia="David" w:hAnsi="David"/>
          <w:sz w:val="24"/>
          <w:szCs w:val="24"/>
          <w:rtl/>
        </w:rPr>
        <w:t xml:space="preserve"> ואכן הביקורת הפנימית על אמו"ן חזרה על אותה אזהרה.</w:t>
      </w:r>
      <w:r>
        <w:rPr>
          <w:rStyle w:val="FootnoteReference"/>
        </w:rPr>
        <w:footnoteReference w:id="162"/>
      </w:r>
      <w:r>
        <w:rPr>
          <w:rFonts w:ascii="David" w:cs="David" w:eastAsia="David" w:hAnsi="David"/>
          <w:sz w:val="24"/>
          <w:szCs w:val="24"/>
          <w:rtl/>
        </w:rPr>
        <w:t xml:space="preserve"> מדד מורכב, שיכלול את שיעור כתבי האישום, את שיעור הדיווח ואת התפלגות המפגשים, יאפשר לזהות מצב שבו מספר האירועים יורד בעוד ההגנה נחלשת.</w:t>
      </w:r>
      <w:r>
        <w:rPr>
          <w:rStyle w:val="FootnoteReference"/>
        </w:rPr>
        <w:footnoteReference w:id="163"/>
      </w:r>
      <w:r>
        <w:rPr>
          <w:rFonts w:ascii="David" w:cs="David" w:eastAsia="David" w:hAnsi="David"/>
          <w:sz w:val="24"/>
          <w:szCs w:val="24"/>
          <w:rtl/>
        </w:rPr>
        <w:t xml:space="preserve"> תיקי החשיפה, שבהם נרשמו לא יהודים ב-50% מן התיקים נגד צעירים בשנת 2023,</w:t>
      </w:r>
      <w:r>
        <w:rPr>
          <w:rStyle w:val="FootnoteReference"/>
        </w:rPr>
        <w:footnoteReference w:id="164"/>
      </w:r>
      <w:r>
        <w:rPr>
          <w:rFonts w:ascii="David" w:cs="David" w:eastAsia="David" w:hAnsi="David"/>
          <w:sz w:val="24"/>
          <w:szCs w:val="24"/>
          <w:rtl/>
        </w:rPr>
        <w:t xml:space="preserve"> משקפים החלטות של שוטרים, ולכן מעקב אחריהם לפי פוליגון ולפי קבוצה יכול לשמש מדד ישיר לממד הרביעי. הרדוף מציע להגביר את השקיפות באמצעות הנחיות מפורטות ודוחות תקופתיים,</w:t>
      </w:r>
      <w:r>
        <w:rPr>
          <w:rStyle w:val="FootnoteReference"/>
        </w:rPr>
        <w:footnoteReference w:id="165"/>
      </w:r>
      <w:r>
        <w:rPr>
          <w:rFonts w:ascii="David" w:cs="David" w:eastAsia="David" w:hAnsi="David"/>
          <w:sz w:val="24"/>
          <w:szCs w:val="24"/>
          <w:rtl/>
        </w:rPr>
        <w:t xml:space="preserve"> ומדד כזה יכול להיות חלק מהם.</w:t>
      </w:r>
    </w:p>
    <w:p>
      <w:pPr>
        <w:pStyle w:val="Heading2"/>
        <w:bidi/>
        <w:spacing w:after="160" w:before="240"/>
        <w:jc w:val="right"/>
      </w:pPr>
      <w:r>
        <w:rPr>
          <w:rFonts w:ascii="David" w:cs="David" w:eastAsia="David" w:hAnsi="David"/>
          <w:b/>
          <w:bCs/>
          <w:sz w:val="28"/>
          <w:szCs w:val="28"/>
          <w:rtl/>
        </w:rPr>
        <w:t xml:space="preserve">7.4 הבניית שיקול הדעת כתנאי לאפקטיביות הרפורמה</w:t>
      </w:r>
    </w:p>
    <w:p>
      <w:pPr>
        <w:bidi/>
        <w:spacing w:after="120" w:line="360"/>
        <w:ind w:firstLine="0"/>
        <w:jc w:val="both"/>
      </w:pPr>
      <w:r>
        <w:rPr>
          <w:rFonts w:ascii="David" w:cs="David" w:eastAsia="David" w:hAnsi="David"/>
          <w:sz w:val="24"/>
          <w:szCs w:val="24"/>
          <w:rtl/>
        </w:rPr>
        <w:t xml:space="preserve">אמו"ן מודדת את הפחתת הבעיות שנבחרו, אך אמון והוגנות מחייבים מדידה נפרדת: הוגנות ההליכים קשורה לאמון יותר מהערכת הביצועים, ובקרב משיבים ערבים הקשר בין ביצועים לשיתוף פעולה חלש.</w:t>
      </w:r>
      <w:r>
        <w:rPr>
          <w:rStyle w:val="FootnoteReference"/>
        </w:rPr>
        <w:footnoteReference w:id="166"/>
      </w:r>
      <w:r>
        <w:rPr>
          <w:rFonts w:ascii="David" w:cs="David" w:eastAsia="David" w:hAnsi="David"/>
          <w:sz w:val="24"/>
          <w:szCs w:val="24"/>
          <w:rtl/>
        </w:rPr>
        <w:t xml:space="preserve"> מודל שמעריך הצלחה רק לפי נתוני פשיעה יציג תחנה שעמדה ביעדים כמצליחה, גם אם נשחקו בגזרתה האמון והדיווח. כפי שמציינת בל, לא די בשיפור המפגש הבודד, ויש לשנות את המבנה שיוצר את דפוס המפגשים.</w:t>
      </w:r>
      <w:r>
        <w:rPr>
          <w:rStyle w:val="FootnoteReference"/>
        </w:rPr>
        <w:footnoteReference w:id="167"/>
      </w:r>
    </w:p>
    <w:p>
      <w:pPr>
        <w:bidi/>
        <w:spacing w:after="120" w:line="360"/>
        <w:ind w:firstLine="0"/>
        <w:jc w:val="both"/>
      </w:pPr>
      <w:r>
        <w:rPr>
          <w:rFonts w:ascii="David" w:cs="David" w:eastAsia="David" w:hAnsi="David"/>
          <w:sz w:val="24"/>
          <w:szCs w:val="24"/>
          <w:rtl/>
        </w:rPr>
        <w:t xml:space="preserve">עניין </w:t>
      </w:r>
      <w:r>
        <w:rPr>
          <w:rFonts w:ascii="David" w:cs="David" w:eastAsia="David" w:hAnsi="David"/>
          <w:b/>
          <w:bCs/>
          <w:sz w:val="24"/>
          <w:szCs w:val="24"/>
          <w:rtl/>
        </w:rPr>
        <w:t xml:space="preserve">טבקה</w:t>
      </w:r>
      <w:r>
        <w:rPr>
          <w:rFonts w:ascii="David" w:cs="David" w:eastAsia="David" w:hAnsi="David"/>
          <w:sz w:val="24"/>
          <w:szCs w:val="24"/>
          <w:rtl/>
        </w:rPr>
        <w:t xml:space="preserve"> הראה מה קורה כשסמכות מופעלת בלי אמות מידה: שימוש סלקטיבי שמוביל להפליה גם בלי כוונה, ומנגד נקבע בו שתבחינים ברורים משפרים את היעילות ומצמצמים סטריאוטיפים.</w:t>
      </w:r>
      <w:r>
        <w:rPr>
          <w:rStyle w:val="FootnoteReference"/>
        </w:rPr>
        <w:footnoteReference w:id="168"/>
      </w:r>
      <w:r>
        <w:rPr>
          <w:rFonts w:ascii="David" w:cs="David" w:eastAsia="David" w:hAnsi="David"/>
          <w:sz w:val="24"/>
          <w:szCs w:val="24"/>
          <w:rtl/>
        </w:rPr>
        <w:t xml:space="preserve"> אמו"ן מחילה את ההיגיון הזה על בחירת היעדים, אך לא על הפעלת הסמכות מול האזרח. תוכנית שמחייבת פעילות יזומה בפוליגון יוצרת בדיוק את המפגשים שבהם שיקול הדעת עלול לפעול בלי מבנה.</w:t>
      </w:r>
    </w:p>
    <w:p>
      <w:pPr>
        <w:bidi/>
        <w:spacing w:after="120" w:line="360"/>
        <w:ind w:firstLine="0"/>
        <w:jc w:val="both"/>
      </w:pPr>
      <w:r>
        <w:rPr>
          <w:rFonts w:ascii="David" w:cs="David" w:eastAsia="David" w:hAnsi="David"/>
          <w:sz w:val="24"/>
          <w:szCs w:val="24"/>
          <w:rtl/>
        </w:rPr>
        <w:t xml:space="preserve">ההשוואה מספקת תבנית: איסור מפורש לבסס חשד על מאפיינים אישיים כהוראת עבודה,</w:t>
      </w:r>
      <w:r>
        <w:rPr>
          <w:rStyle w:val="FootnoteReference"/>
        </w:rPr>
        <w:footnoteReference w:id="169"/>
      </w:r>
      <w:r>
        <w:rPr>
          <w:rFonts w:ascii="David" w:cs="David" w:eastAsia="David" w:hAnsi="David"/>
          <w:sz w:val="24"/>
          <w:szCs w:val="24"/>
          <w:rtl/>
        </w:rPr>
        <w:t xml:space="preserve"> תיעוד של סיבת העיכוב, תוצאתו והזהות האתנית,</w:t>
      </w:r>
      <w:r>
        <w:rPr>
          <w:rStyle w:val="FootnoteReference"/>
        </w:rPr>
        <w:footnoteReference w:id="170"/>
      </w:r>
      <w:r>
        <w:rPr>
          <w:rFonts w:ascii="David" w:cs="David" w:eastAsia="David" w:hAnsi="David"/>
          <w:sz w:val="24"/>
          <w:szCs w:val="24"/>
          <w:rtl/>
        </w:rPr>
        <w:t xml:space="preserve"> ובדיקה של הרישומים לאיתור דפוסים.</w:t>
      </w:r>
      <w:r>
        <w:rPr>
          <w:rStyle w:val="FootnoteReference"/>
        </w:rPr>
        <w:footnoteReference w:id="171"/>
      </w:r>
      <w:r>
        <w:rPr>
          <w:rFonts w:ascii="David" w:cs="David" w:eastAsia="David" w:hAnsi="David"/>
          <w:sz w:val="24"/>
          <w:szCs w:val="24"/>
          <w:rtl/>
        </w:rPr>
        <w:t xml:space="preserve"> בעניין </w:t>
      </w:r>
      <w:r>
        <w:rPr>
          <w:rFonts w:ascii="David" w:cs="David" w:eastAsia="David" w:hAnsi="David"/>
          <w:i/>
          <w:iCs/>
          <w:sz w:val="24"/>
          <w:szCs w:val="24"/>
          <w:rtl w:val="false"/>
        </w:rPr>
        <w:t xml:space="preserve">Roberts‎</w:t>
      </w:r>
      <w:r>
        <w:rPr>
          <w:rFonts w:ascii="David" w:cs="David" w:eastAsia="David" w:hAnsi="David"/>
          <w:sz w:val="24"/>
          <w:szCs w:val="24"/>
          <w:rtl/>
        </w:rPr>
        <w:t xml:space="preserve"> ראה בית המשפט בבקרות כאלה את מה שמגן על סמכות רחבה מפני שרירות, אף שהן אינן מבטיחות שלא יהיו הפרות במקרים מסוימים.</w:t>
      </w:r>
      <w:r>
        <w:rPr>
          <w:rStyle w:val="FootnoteReference"/>
        </w:rPr>
        <w:footnoteReference w:id="172"/>
      </w:r>
      <w:r>
        <w:rPr>
          <w:rFonts w:ascii="David" w:cs="David" w:eastAsia="David" w:hAnsi="David"/>
          <w:sz w:val="24"/>
          <w:szCs w:val="24"/>
          <w:rtl/>
        </w:rPr>
        <w:t xml:space="preserve"> אפשר להוסיף למערכת הקיימת של אמו"ן שדות שמתעדים מפגשים יזומים, את עילתם ואת תוצאותיהם,</w:t>
      </w:r>
      <w:r>
        <w:rPr>
          <w:rStyle w:val="FootnoteReference"/>
        </w:rPr>
        <w:footnoteReference w:id="173"/>
      </w:r>
      <w:r>
        <w:rPr>
          <w:rFonts w:ascii="David" w:cs="David" w:eastAsia="David" w:hAnsi="David"/>
          <w:sz w:val="24"/>
          <w:szCs w:val="24"/>
          <w:rtl/>
        </w:rPr>
        <w:t xml:space="preserve"> ולשקול גם מצלמות גוף, שבמחקרים נמצאו מפחיתות הפעלת כוח ותלונות.</w:t>
      </w:r>
      <w:r>
        <w:rPr>
          <w:rStyle w:val="FootnoteReference"/>
        </w:rPr>
        <w:footnoteReference w:id="174"/>
      </w:r>
      <w:r>
        <w:rPr>
          <w:rFonts w:ascii="David" w:cs="David" w:eastAsia="David" w:hAnsi="David"/>
          <w:sz w:val="24"/>
          <w:szCs w:val="24"/>
          <w:rtl/>
        </w:rPr>
        <w:t xml:space="preserve"> לפני כן יש לבדוק מה כבר נאסף, מי רשאי לעיין במידע ואיך תוגן הפרטיות, ואם נדרשת הסדרה בחקיקה. את החשש מהכבדה על השוטרים ראוי לבחון ביישום מדורג. כדברי הרדוף, הבקרה "אינה מעלימה את הכוח, אלא אך מצמצמת את הסיכוי לשימוש לא ראוי ולא מוצלח בו".</w:t>
      </w:r>
      <w:r>
        <w:rPr>
          <w:rStyle w:val="FootnoteReference"/>
        </w:rPr>
        <w:footnoteReference w:id="175"/>
      </w:r>
    </w:p>
    <w:p>
      <w:pPr>
        <w:pStyle w:val="Heading1"/>
        <w:pageBreakBefore/>
        <w:bidi/>
        <w:spacing w:after="160" w:before="240"/>
        <w:jc w:val="center"/>
      </w:pPr>
      <w:r>
        <w:rPr>
          <w:rFonts w:ascii="David" w:cs="David" w:eastAsia="David" w:hAnsi="David"/>
          <w:b/>
          <w:bCs/>
          <w:sz w:val="32"/>
          <w:szCs w:val="32"/>
          <w:rtl/>
        </w:rPr>
        <w:t xml:space="preserve">8. סיכום ומסקנות</w:t>
      </w:r>
    </w:p>
    <w:p>
      <w:pPr>
        <w:bidi/>
        <w:spacing w:after="120" w:line="360"/>
        <w:ind w:firstLine="0"/>
        <w:jc w:val="both"/>
      </w:pPr>
      <w:r>
        <w:rPr>
          <w:rFonts w:ascii="David" w:cs="David" w:eastAsia="David" w:hAnsi="David"/>
          <w:sz w:val="24"/>
          <w:szCs w:val="24"/>
          <w:rtl/>
        </w:rPr>
        <w:t xml:space="preserve">העבודה בחנה באיזו מידה אמו"ן אפקטיבית בהפחתת עבריינות ובשיפור האכיפה בקרב צעירים ערבים בני 18 עד 24, ואם הקשיים נובעים מן המודל או מיישומו. התשובה שונה בכל אחד מארבעת הממדים. בהפחתת הפשיעה נמצאה תמיכה ברפורמה בסל הרכוש, בשתיים משלוש תחנות, ובסל הירי תועדה ירידה בתחנה אחת, אם כי מחקר הירי אינו מאפשר לייחס אותה לרפורמה. באיכות האכיפה, שיעור כתבי האישום בעבירות ירי נותר 3% עד 5%, ומערכת המדידה אינה כוללת מדד של תוצאה משפטית. באמון, ציוני התחנה נמצאו קשורים לאמון, אך בקרב המשיבים הערבים הקשר לשיתוף פעולה חלש, והאמון ירד בשנים 2019 עד 2023. בשוויון, אין מדידה של התפלגות המפגשים היזומים, ולכן אי אפשר לדעת אם המצב השתפר או הורע. מאחר שמיקוד בסיכון גבוה צפוי ליצור פערים, היעדר מדידה אינו עמדה ניטרלית.</w:t>
      </w:r>
    </w:p>
    <w:p>
      <w:pPr>
        <w:bidi/>
        <w:spacing w:after="120" w:line="360"/>
        <w:ind w:firstLine="0"/>
        <w:jc w:val="both"/>
      </w:pPr>
      <w:r>
        <w:rPr>
          <w:rFonts w:ascii="David" w:cs="David" w:eastAsia="David" w:hAnsi="David"/>
          <w:sz w:val="24"/>
          <w:szCs w:val="24"/>
          <w:rtl/>
        </w:rPr>
        <w:t xml:space="preserve">לשאלה המרכזית, הממצאים מצביעים על משקל רב לכשלי יישום ולעיצוב הכלים הארגוניים: הגדרת בעיות רחבה מדי כדי לעמוד ברף מספרי, מיקוד גיאוגרפי שנחסם בהיעדר תשתית מידע ביישובים ערביים, התערבות שיושמה רק בחלקה, ומדידה שתגמלה תפוקות, ומעל כולם מחסור בחוקרים ובמשאבים. לצידם עולה מגבלה בהיקף ההערכה: הפחתת הבעיה שנבחרה אינה מספיקה כדי להעריך את איכות השירות ואת הוגנות האכיפה, ונתוני המעצרים וכתבי האישום מעוררים יחד חשש לפער בין מגע עם המשטרה לבין הגנה מפני פשיעה.</w:t>
      </w:r>
    </w:p>
    <w:p>
      <w:pPr>
        <w:bidi/>
        <w:spacing w:after="120" w:line="360"/>
        <w:ind w:firstLine="0"/>
        <w:jc w:val="both"/>
      </w:pPr>
      <w:r>
        <w:rPr>
          <w:rFonts w:ascii="David" w:cs="David" w:eastAsia="David" w:hAnsi="David"/>
          <w:sz w:val="24"/>
          <w:szCs w:val="24"/>
          <w:rtl/>
        </w:rPr>
        <w:t xml:space="preserve">מכאן המסקנות המעשיות:</w:t>
      </w:r>
    </w:p>
    <w:p>
      <w:pPr>
        <w:pStyle w:val="ListParagraph"/>
        <w:numPr>
          <w:ilvl w:val="0"/>
          <w:numId w:val="2"/>
        </w:numPr>
        <w:bidi/>
        <w:spacing w:after="120" w:line="360"/>
        <w:ind w:firstLine="0"/>
        <w:jc w:val="both"/>
      </w:pPr>
      <w:r>
        <w:rPr>
          <w:rFonts w:ascii="David" w:cs="David" w:eastAsia="David" w:hAnsi="David"/>
          <w:sz w:val="24"/>
          <w:szCs w:val="24"/>
          <w:rtl/>
        </w:rPr>
        <w:t xml:space="preserve">לחדד את הגדרת הבעיות ולוותר על רף מספרי שמרחיב את הפוליגון.</w:t>
      </w:r>
    </w:p>
    <w:p>
      <w:pPr>
        <w:pStyle w:val="ListParagraph"/>
        <w:numPr>
          <w:ilvl w:val="0"/>
          <w:numId w:val="2"/>
        </w:numPr>
        <w:bidi/>
        <w:spacing w:after="120" w:line="360"/>
        <w:ind w:firstLine="0"/>
        <w:jc w:val="both"/>
      </w:pPr>
      <w:r>
        <w:rPr>
          <w:rFonts w:ascii="David" w:cs="David" w:eastAsia="David" w:hAnsi="David"/>
          <w:sz w:val="24"/>
          <w:szCs w:val="24"/>
          <w:rtl/>
        </w:rPr>
        <w:t xml:space="preserve">להשלים את תשתית המידע הגיאוגרפית ביישובים ערביים.</w:t>
      </w:r>
    </w:p>
    <w:p>
      <w:pPr>
        <w:pStyle w:val="ListParagraph"/>
        <w:numPr>
          <w:ilvl w:val="0"/>
          <w:numId w:val="2"/>
        </w:numPr>
        <w:bidi/>
        <w:spacing w:after="120" w:line="360"/>
        <w:ind w:firstLine="0"/>
        <w:jc w:val="both"/>
      </w:pPr>
      <w:r>
        <w:rPr>
          <w:rFonts w:ascii="David" w:cs="David" w:eastAsia="David" w:hAnsi="David"/>
          <w:sz w:val="24"/>
          <w:szCs w:val="24"/>
          <w:rtl/>
        </w:rPr>
        <w:t xml:space="preserve">ליישם את ההרתעה הממוקדת על כל רכיביה, כולל המפגש והשירותים השיקומיים.</w:t>
      </w:r>
    </w:p>
    <w:p>
      <w:pPr>
        <w:pStyle w:val="ListParagraph"/>
        <w:numPr>
          <w:ilvl w:val="0"/>
          <w:numId w:val="2"/>
        </w:numPr>
        <w:bidi/>
        <w:spacing w:after="120" w:line="360"/>
        <w:ind w:firstLine="0"/>
        <w:jc w:val="both"/>
      </w:pPr>
      <w:r>
        <w:rPr>
          <w:rFonts w:ascii="David" w:cs="David" w:eastAsia="David" w:hAnsi="David"/>
          <w:sz w:val="24"/>
          <w:szCs w:val="24"/>
          <w:rtl/>
        </w:rPr>
        <w:t xml:space="preserve">להוסיף למערכת המדידה מדד של תוצאה משפטית לצד מדד האירועים.</w:t>
      </w:r>
    </w:p>
    <w:p>
      <w:pPr>
        <w:pStyle w:val="ListParagraph"/>
        <w:numPr>
          <w:ilvl w:val="0"/>
          <w:numId w:val="2"/>
        </w:numPr>
        <w:bidi/>
        <w:spacing w:after="120" w:line="360"/>
        <w:ind w:firstLine="0"/>
        <w:jc w:val="both"/>
      </w:pPr>
      <w:r>
        <w:rPr>
          <w:rFonts w:ascii="David" w:cs="David" w:eastAsia="David" w:hAnsi="David"/>
          <w:sz w:val="24"/>
          <w:szCs w:val="24"/>
          <w:rtl/>
        </w:rPr>
        <w:t xml:space="preserve">לתעד את המפגשים היזומים ואת התפלגותם בין קבוצות, על בסיס עקרונות קוד </w:t>
      </w:r>
      <w:r>
        <w:rPr>
          <w:rFonts w:ascii="David" w:cs="David" w:eastAsia="David" w:hAnsi="David"/>
          <w:sz w:val="24"/>
          <w:szCs w:val="24"/>
          <w:rtl w:val="false"/>
        </w:rPr>
        <w:t xml:space="preserve">A‎</w:t>
      </w:r>
      <w:r>
        <w:rPr>
          <w:rFonts w:ascii="David" w:cs="David" w:eastAsia="David" w:hAnsi="David"/>
          <w:sz w:val="24"/>
          <w:szCs w:val="24"/>
          <w:rtl/>
        </w:rPr>
        <w:t xml:space="preserve"> והמלצת מקפרסון.</w:t>
      </w:r>
    </w:p>
    <w:p>
      <w:pPr>
        <w:bidi/>
        <w:spacing w:after="120" w:line="360"/>
        <w:ind w:firstLine="0"/>
        <w:jc w:val="both"/>
      </w:pPr>
      <w:r>
        <w:rPr>
          <w:rFonts w:ascii="David" w:cs="David" w:eastAsia="David" w:hAnsi="David"/>
          <w:sz w:val="24"/>
          <w:szCs w:val="24"/>
          <w:rtl/>
        </w:rPr>
        <w:t xml:space="preserve">המסקנה הכוללת היא שהבניית שיקול הדעת אינה מגבלה חיצונית על האפקטיביות אלא חלק ממנה. כל עוד תוכניות התקיפה ממקדות את הפעילות בשטח בלי לבחון את איכות המפגש בין השוטר לאזרח, יישאר פער בין הרפורמה שתוכננה לבין הרפורמה שפועלת בפועל. הנתונים על צעירים ערבים בני 18 עד 24 מצדיקים בדיקה ממוקדת של השפעתה עליהם.</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ביקורת מיוחד: התמודדות משטרת ישראל עם החזקת אמצעי לחימה לא חוקיים ואירועי ירי ביישובי החברה הערבית וביישובים מעורבים</w:t>
      </w:r>
      <w:r>
        <w:rPr>
          <w:rFonts w:ascii="David" w:cs="David" w:eastAsia="David" w:hAnsi="David"/>
          <w:sz w:val="20"/>
          <w:szCs w:val="20"/>
          <w:rtl w:val="false"/>
        </w:rPr>
        <w:t xml:space="preserve"> 3 (2018).</w:t>
      </w:r>
    </w:p>
  </w:footnote>
  <w:footnote w:id="2">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התמודדות משטרת ישראל עם החזקת אמצעי לחימה לא חוקיים ואירועי ירי ביישובי החברה הערבית וביישובים מעורבים</w:t>
      </w:r>
      <w:r>
        <w:rPr>
          <w:rFonts w:ascii="David" w:cs="David" w:eastAsia="David" w:hAnsi="David"/>
          <w:sz w:val="20"/>
          <w:szCs w:val="20"/>
          <w:rtl w:val="false"/>
        </w:rPr>
        <w:t xml:space="preserve"> 4-3 (2021).</w:t>
      </w:r>
    </w:p>
  </w:footnote>
  <w:footnote w:id="3">
    <w:p>
      <w:pPr>
        <w:bidi/>
        <w:spacing w:after="40" w:line="240"/>
        <w:jc w:val="both"/>
      </w:pPr>
      <w:r>
        <w:rPr>
          <w:rStyle w:val="FootnoteReference"/>
        </w:rPr>
        <w:footnoteRef/>
      </w:r>
      <w:r>
        <w:rPr>
          <w:rFonts w:ascii="David" w:cs="David" w:eastAsia="David" w:hAnsi="David"/>
          <w:sz w:val="20"/>
          <w:szCs w:val="20"/>
          <w:rtl/>
        </w:rPr>
        <w:t xml:space="preserve"> נורית יכימוביץ-כהן </w:t>
      </w:r>
      <w:r>
        <w:rPr>
          <w:rFonts w:ascii="David" w:cs="David" w:eastAsia="David" w:hAnsi="David"/>
          <w:b/>
          <w:bCs/>
          <w:sz w:val="20"/>
          <w:szCs w:val="20"/>
          <w:rtl/>
        </w:rPr>
        <w:t xml:space="preserve">סוגיות הקשורות לשיטור יתר ושימוש משטרתי בכוח כלפי קבוצות אוכלוסייה מסוימות</w:t>
      </w:r>
      <w:r>
        <w:rPr>
          <w:rFonts w:ascii="David" w:cs="David" w:eastAsia="David" w:hAnsi="David"/>
          <w:sz w:val="20"/>
          <w:szCs w:val="20"/>
          <w:rtl/>
        </w:rPr>
        <w:t xml:space="preserve"> 3 (הכנסת, מרכז המחקר והמידע, 2025).</w:t>
      </w:r>
    </w:p>
  </w:footnote>
  <w:footnote w:id="4">
    <w:p>
      <w:pPr>
        <w:bidi/>
        <w:spacing w:after="40" w:line="240"/>
        <w:jc w:val="both"/>
      </w:pPr>
      <w:r>
        <w:rPr>
          <w:rStyle w:val="FootnoteReference"/>
        </w:rPr>
        <w:footnoteRef/>
      </w:r>
      <w:r>
        <w:rPr>
          <w:rFonts w:ascii="David" w:cs="David" w:eastAsia="David" w:hAnsi="David"/>
          <w:sz w:val="20"/>
          <w:szCs w:val="20"/>
          <w:rtl/>
        </w:rPr>
        <w:t xml:space="preserve"> יואב ספיר "שיח הזכויות, פופוליזם והתגובה לפשיעה בחברה הערבית: על הצורך בהגנה חוקתית משודרגת על זכויות בפלילים" </w:t>
      </w:r>
      <w:r>
        <w:rPr>
          <w:rFonts w:ascii="David" w:cs="David" w:eastAsia="David" w:hAnsi="David"/>
          <w:b/>
          <w:bCs/>
          <w:sz w:val="20"/>
          <w:szCs w:val="20"/>
          <w:rtl/>
        </w:rPr>
        <w:t xml:space="preserve">משפטים על אתר</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(2025).</w:t>
      </w:r>
    </w:p>
  </w:footnote>
  <w:footnote w:id="5">
    <w:p>
      <w:pPr>
        <w:bidi/>
        <w:spacing w:after="40" w:line="240"/>
        <w:jc w:val="both"/>
      </w:pPr>
      <w:r>
        <w:rPr>
          <w:rStyle w:val="FootnoteReference"/>
        </w:rPr>
        <w:footnoteRef/>
      </w:r>
      <w:r>
        <w:rPr>
          <w:rFonts w:ascii="David" w:cs="David" w:eastAsia="David" w:hAnsi="David"/>
          <w:sz w:val="20"/>
          <w:szCs w:val="20"/>
          <w:rtl/>
        </w:rPr>
        <w:t xml:space="preserve"> דייוויד ויסבורד, באדי חסייסי, יעל ליטמנוביץ, תומר כרמל ושני תשובה "מיסוד שיטור מוכוון בעיות: הערכה של רפורמת אמו"ן בישראל, תקציר מנהלים" </w:t>
      </w:r>
      <w:r>
        <w:rPr>
          <w:rFonts w:ascii="David" w:cs="David" w:eastAsia="David" w:hAnsi="David"/>
          <w:b/>
          <w:bCs/>
          <w:sz w:val="20"/>
          <w:szCs w:val="20"/>
          <w:rtl/>
        </w:rPr>
        <w:t xml:space="preserve">העיקר במחקר</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val="false"/>
        </w:rPr>
        <w:t xml:space="preserve"> 152, 153-152, 157-155 (2020).</w:t>
      </w:r>
    </w:p>
  </w:footnote>
  <w:footnote w:id="6">
    <w:p>
      <w:pPr>
        <w:bidi/>
        <w:spacing w:after="40" w:line="240"/>
        <w:jc w:val="both"/>
      </w:pPr>
      <w:r>
        <w:rPr>
          <w:rStyle w:val="FootnoteReference"/>
        </w:rPr>
        <w:footnoteRef/>
      </w:r>
      <w:r>
        <w:rPr>
          <w:rFonts w:ascii="David" w:cs="David" w:eastAsia="David" w:hAnsi="David"/>
          <w:sz w:val="20"/>
          <w:szCs w:val="20"/>
          <w:rtl/>
        </w:rPr>
        <w:t xml:space="preserve"> שם, בעמ' 154.</w:t>
      </w:r>
    </w:p>
  </w:footnote>
  <w:footnote w:id="7">
    <w:p>
      <w:pPr>
        <w:bidi/>
        <w:spacing w:after="40" w:line="240"/>
        <w:jc w:val="both"/>
      </w:pPr>
      <w:r>
        <w:rPr>
          <w:rStyle w:val="FootnoteReference"/>
        </w:rPr>
        <w:footnoteRef/>
      </w:r>
      <w:r>
        <w:rPr>
          <w:rFonts w:ascii="David" w:cs="David" w:eastAsia="David" w:hAnsi="David"/>
          <w:sz w:val="20"/>
          <w:szCs w:val="20"/>
          <w:rtl/>
        </w:rPr>
        <w:t xml:space="preserve"> נורית יכימוביץ-כהן </w:t>
      </w:r>
      <w:r>
        <w:rPr>
          <w:rFonts w:ascii="David" w:cs="David" w:eastAsia="David" w:hAnsi="David"/>
          <w:b/>
          <w:bCs/>
          <w:sz w:val="20"/>
          <w:szCs w:val="20"/>
          <w:rtl/>
        </w:rPr>
        <w:t xml:space="preserve">פשיעה ועבריינות של צעירים ערבים: נתוני אכיפה</w:t>
      </w:r>
      <w:r>
        <w:rPr>
          <w:rFonts w:ascii="David" w:cs="David" w:eastAsia="David" w:hAnsi="David"/>
          <w:sz w:val="20"/>
          <w:szCs w:val="20"/>
          <w:rtl/>
        </w:rPr>
        <w:t xml:space="preserve"> 5-4 (הכנסת, מרכז המחקר והמידע, 2025).</w:t>
      </w:r>
    </w:p>
  </w:footnote>
  <w:footnote w:id="8">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161-159.</w:t>
      </w:r>
    </w:p>
  </w:footnote>
  <w:footnote w:id="9">
    <w:p>
      <w:pPr>
        <w:bidi/>
        <w:spacing w:after="40" w:line="240"/>
        <w:jc w:val="both"/>
      </w:pPr>
      <w:r>
        <w:rPr>
          <w:rStyle w:val="FootnoteReference"/>
        </w:rPr>
        <w:footnoteRef/>
      </w:r>
      <w:r>
        <w:rPr>
          <w:rFonts w:ascii="David" w:cs="David" w:eastAsia="David" w:hAnsi="David"/>
          <w:sz w:val="20"/>
          <w:szCs w:val="20"/>
          <w:rtl w:val="false"/>
        </w:rPr>
        <w:t xml:space="preserve"> Herman Goldstein, ‎</w:t>
      </w:r>
      <w:r>
        <w:rPr>
          <w:rFonts w:ascii="David" w:cs="David" w:eastAsia="David" w:hAnsi="David"/>
          <w:i/>
          <w:iCs/>
          <w:sz w:val="20"/>
          <w:szCs w:val="20"/>
          <w:rtl w:val="false"/>
        </w:rPr>
        <w:t xml:space="preserve">Improving Policing: A Problem-Oriented Approach‎</w:t>
      </w:r>
      <w:r>
        <w:rPr>
          <w:rFonts w:ascii="David" w:cs="David" w:eastAsia="David" w:hAnsi="David"/>
          <w:sz w:val="20"/>
          <w:szCs w:val="20"/>
          <w:rtl w:val="false"/>
        </w:rPr>
        <w:t xml:space="preserve">, 25 CRIME &amp; DELINQ. 236, 236 (1979).‎</w:t>
      </w:r>
    </w:p>
  </w:footnote>
  <w:footnote w:id="10">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1">
    <w:p>
      <w:pPr>
        <w:bidi/>
        <w:spacing w:after="40" w:line="240"/>
        <w:jc w:val="both"/>
      </w:pPr>
      <w:r>
        <w:rPr>
          <w:rStyle w:val="FootnoteReference"/>
        </w:rPr>
        <w:footnoteRef/>
      </w:r>
      <w:r>
        <w:rPr>
          <w:rFonts w:ascii="David" w:cs="David" w:eastAsia="David" w:hAnsi="David"/>
          <w:sz w:val="20"/>
          <w:szCs w:val="20"/>
          <w:rtl w:val="false"/>
        </w:rPr>
        <w:t xml:space="preserve"> Jason Sunshine &amp; Tom R. Tyler, ‎</w:t>
      </w:r>
      <w:r>
        <w:rPr>
          <w:rFonts w:ascii="David" w:cs="David" w:eastAsia="David" w:hAnsi="David"/>
          <w:i/>
          <w:iCs/>
          <w:sz w:val="20"/>
          <w:szCs w:val="20"/>
          <w:rtl w:val="false"/>
        </w:rPr>
        <w:t xml:space="preserve">The Role of Procedural Justice and Legitimacy in Shaping Public Support for Policing‎</w:t>
      </w:r>
      <w:r>
        <w:rPr>
          <w:rFonts w:ascii="David" w:cs="David" w:eastAsia="David" w:hAnsi="David"/>
          <w:sz w:val="20"/>
          <w:szCs w:val="20"/>
          <w:rtl w:val="false"/>
        </w:rPr>
        <w:t xml:space="preserve">, 37 LAW &amp; SOC'Y REV. 513, 513-514 (2003).‎</w:t>
      </w:r>
    </w:p>
  </w:footnote>
  <w:footnote w:id="12">
    <w:p>
      <w:pPr>
        <w:bidi/>
        <w:spacing w:after="40" w:line="240"/>
        <w:jc w:val="both"/>
      </w:pPr>
      <w:r>
        <w:rPr>
          <w:rStyle w:val="FootnoteReference"/>
        </w:rPr>
        <w:footnoteRef/>
      </w:r>
      <w:r>
        <w:rPr>
          <w:rFonts w:ascii="David" w:cs="David" w:eastAsia="David" w:hAnsi="David"/>
          <w:sz w:val="20"/>
          <w:szCs w:val="20"/>
          <w:rtl/>
        </w:rPr>
        <w:t xml:space="preserve"> בג"ץ 7074/93 </w:t>
      </w:r>
      <w:r>
        <w:rPr>
          <w:rFonts w:ascii="David" w:cs="David" w:eastAsia="David" w:hAnsi="David"/>
          <w:b/>
          <w:bCs/>
          <w:sz w:val="20"/>
          <w:szCs w:val="20"/>
          <w:rtl/>
        </w:rPr>
        <w:t xml:space="preserve">סויסא נ' היועץ המשפטי לממשלה</w:t>
      </w:r>
      <w:r>
        <w:rPr>
          <w:rFonts w:ascii="David" w:cs="David" w:eastAsia="David" w:hAnsi="David"/>
          <w:sz w:val="20"/>
          <w:szCs w:val="20"/>
          <w:rtl/>
        </w:rPr>
        <w:t xml:space="preserve">, פ"ד מח(2) 749, 784 (1994).</w:t>
      </w:r>
    </w:p>
  </w:footnote>
  <w:footnote w:id="13">
    <w:p>
      <w:pPr>
        <w:bidi/>
        <w:spacing w:after="40" w:line="240"/>
        <w:jc w:val="both"/>
      </w:pPr>
      <w:r>
        <w:rPr>
          <w:rStyle w:val="FootnoteReference"/>
        </w:rPr>
        <w:footnoteRef/>
      </w:r>
      <w:r>
        <w:rPr>
          <w:rFonts w:ascii="David" w:cs="David" w:eastAsia="David" w:hAnsi="David"/>
          <w:sz w:val="20"/>
          <w:szCs w:val="20"/>
          <w:rtl/>
        </w:rPr>
        <w:t xml:space="preserve"> בג"ץ 4455/19 </w:t>
      </w:r>
      <w:r>
        <w:rPr>
          <w:rFonts w:ascii="David" w:cs="David" w:eastAsia="David" w:hAnsi="David"/>
          <w:b/>
          <w:bCs/>
          <w:sz w:val="20"/>
          <w:szCs w:val="20"/>
          <w:rtl/>
        </w:rPr>
        <w:t xml:space="preserve">עמותת טבקה – צדק ושוויון ליוצאי אתיופיה נ' משטרת ישראל</w:t>
      </w:r>
      <w:r>
        <w:rPr>
          <w:rFonts w:ascii="David" w:cs="David" w:eastAsia="David" w:hAnsi="David"/>
          <w:sz w:val="20"/>
          <w:szCs w:val="20"/>
          <w:rtl/>
        </w:rPr>
        <w:t xml:space="preserve">, פס' 41 לפסק דינה של הנשיאה חיות (נבו 25.1.2021).</w:t>
      </w:r>
    </w:p>
  </w:footnote>
  <w:footnote w:id="14">
    <w:p>
      <w:pPr>
        <w:bidi/>
        <w:spacing w:after="40" w:line="240"/>
        <w:jc w:val="both"/>
      </w:pPr>
      <w:r>
        <w:rPr>
          <w:rStyle w:val="FootnoteReference"/>
        </w:rPr>
        <w:footnoteRef/>
      </w:r>
      <w:r>
        <w:rPr>
          <w:rFonts w:ascii="David" w:cs="David" w:eastAsia="David" w:hAnsi="David"/>
          <w:sz w:val="20"/>
          <w:szCs w:val="20"/>
          <w:rtl w:val="false"/>
        </w:rPr>
        <w:t xml:space="preserve"> Proactive Policing: Effects on Crime and Communities 173, 210 (David Weisburd &amp; Malay K. Majmundar eds., 2018).‎</w:t>
      </w:r>
    </w:p>
  </w:footnote>
  <w:footnote w:id="15">
    <w:p>
      <w:pPr>
        <w:bidi/>
        <w:spacing w:after="40" w:line="240"/>
        <w:jc w:val="both"/>
      </w:pPr>
      <w:r>
        <w:rPr>
          <w:rStyle w:val="FootnoteReference"/>
        </w:rPr>
        <w:footnoteRef/>
      </w:r>
      <w:r>
        <w:rPr>
          <w:rFonts w:ascii="David" w:cs="David" w:eastAsia="David" w:hAnsi="David"/>
          <w:sz w:val="20"/>
          <w:szCs w:val="20"/>
          <w:rtl/>
        </w:rPr>
        <w:t xml:space="preserve"> שם, בעמ' 118.</w:t>
      </w:r>
    </w:p>
  </w:footnote>
  <w:footnote w:id="1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Goldstein‎</w:t>
      </w:r>
      <w:r>
        <w:rPr>
          <w:rFonts w:ascii="David" w:cs="David" w:eastAsia="David" w:hAnsi="David"/>
          <w:sz w:val="20"/>
          <w:szCs w:val="20"/>
          <w:rtl/>
        </w:rPr>
        <w:t xml:space="preserve">, לעיל ה"ש 9, בעמ' 242.</w:t>
      </w:r>
    </w:p>
  </w:footnote>
  <w:footnote w:id="17">
    <w:p>
      <w:pPr>
        <w:bidi/>
        <w:spacing w:after="40" w:line="240"/>
        <w:jc w:val="both"/>
      </w:pPr>
      <w:r>
        <w:rPr>
          <w:rStyle w:val="FootnoteReference"/>
        </w:rPr>
        <w:footnoteRef/>
      </w:r>
      <w:r>
        <w:rPr>
          <w:rFonts w:ascii="David" w:cs="David" w:eastAsia="David" w:hAnsi="David"/>
          <w:sz w:val="20"/>
          <w:szCs w:val="20"/>
          <w:rtl w:val="false"/>
        </w:rPr>
        <w:t xml:space="preserve"> John E. Eck &amp; William Spelman, Problem-Solving: Problem-Oriented Policing in Newport News xix (1987).‎</w:t>
      </w:r>
    </w:p>
  </w:footnote>
  <w:footnote w:id="18">
    <w:p>
      <w:pPr>
        <w:bidi/>
        <w:spacing w:after="40" w:line="240"/>
        <w:jc w:val="both"/>
      </w:pPr>
      <w:r>
        <w:rPr>
          <w:rStyle w:val="FootnoteReference"/>
        </w:rPr>
        <w:footnoteRef/>
      </w:r>
      <w:r>
        <w:rPr>
          <w:rFonts w:ascii="David" w:cs="David" w:eastAsia="David" w:hAnsi="David"/>
          <w:sz w:val="20"/>
          <w:szCs w:val="20"/>
          <w:rtl w:val="false"/>
        </w:rPr>
        <w:t xml:space="preserve"> Joshua C. Hinkle, David Weisburd, Cody W. Telep &amp; Kevin Petersen, ‎</w:t>
      </w:r>
      <w:r>
        <w:rPr>
          <w:rFonts w:ascii="David" w:cs="David" w:eastAsia="David" w:hAnsi="David"/>
          <w:i/>
          <w:iCs/>
          <w:sz w:val="20"/>
          <w:szCs w:val="20"/>
          <w:rtl w:val="false"/>
        </w:rPr>
        <w:t xml:space="preserve">Problem-Oriented Policing for Reducing Crime and Disorder: An Updated Systematic Review and Meta-Analysis‎</w:t>
      </w:r>
      <w:r>
        <w:rPr>
          <w:rFonts w:ascii="David" w:cs="David" w:eastAsia="David" w:hAnsi="David"/>
          <w:sz w:val="20"/>
          <w:szCs w:val="20"/>
          <w:rtl w:val="false"/>
        </w:rPr>
        <w:t xml:space="preserve">, 16 CAMPBELL SYSTEMATIC REVS. e1089, §§ 5.3, 5.5, 6.1 (2020).‎</w:t>
      </w:r>
    </w:p>
  </w:footnote>
  <w:footnote w:id="1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14, בעמ' 42-44.</w:t>
      </w:r>
    </w:p>
  </w:footnote>
  <w:footnote w:id="20">
    <w:p>
      <w:pPr>
        <w:bidi/>
        <w:spacing w:after="40" w:line="240"/>
        <w:jc w:val="both"/>
      </w:pPr>
      <w:r>
        <w:rPr>
          <w:rStyle w:val="FootnoteReference"/>
        </w:rPr>
        <w:footnoteRef/>
      </w:r>
      <w:r>
        <w:rPr>
          <w:rFonts w:ascii="David" w:cs="David" w:eastAsia="David" w:hAnsi="David"/>
          <w:sz w:val="20"/>
          <w:szCs w:val="20"/>
          <w:rtl w:val="false"/>
        </w:rPr>
        <w:t xml:space="preserve"> Anthony A. Braga, Andrew V. Papachristos &amp; David M. Hureau, ‎</w:t>
      </w:r>
      <w:r>
        <w:rPr>
          <w:rFonts w:ascii="David" w:cs="David" w:eastAsia="David" w:hAnsi="David"/>
          <w:i/>
          <w:iCs/>
          <w:sz w:val="20"/>
          <w:szCs w:val="20"/>
          <w:rtl w:val="false"/>
        </w:rPr>
        <w:t xml:space="preserve">Hot Spots Policing Effects on Crime‎</w:t>
      </w:r>
      <w:r>
        <w:rPr>
          <w:rFonts w:ascii="David" w:cs="David" w:eastAsia="David" w:hAnsi="David"/>
          <w:sz w:val="20"/>
          <w:szCs w:val="20"/>
          <w:rtl w:val="false"/>
        </w:rPr>
        <w:t xml:space="preserve">, 8 CAMPBELL SYSTEMATIC REVS. 1, 8, 24-26 (2012).‎</w:t>
      </w:r>
    </w:p>
  </w:footnote>
  <w:footnote w:id="21">
    <w:p>
      <w:pPr>
        <w:bidi/>
        <w:spacing w:after="40" w:line="240"/>
        <w:jc w:val="both"/>
      </w:pPr>
      <w:r>
        <w:rPr>
          <w:rStyle w:val="FootnoteReference"/>
        </w:rPr>
        <w:footnoteRef/>
      </w:r>
      <w:r>
        <w:rPr>
          <w:rFonts w:ascii="David" w:cs="David" w:eastAsia="David" w:hAnsi="David"/>
          <w:sz w:val="20"/>
          <w:szCs w:val="20"/>
          <w:rtl w:val="false"/>
        </w:rPr>
        <w:t xml:space="preserve"> Hannah Gaffney, Darrick Jolliffe &amp; Howard White, Hot Spot Policing: Toolkit Technical Report 4 (2022).‎</w:t>
      </w:r>
    </w:p>
  </w:footnote>
  <w:footnote w:id="22">
    <w:p>
      <w:pPr>
        <w:bidi/>
        <w:spacing w:after="40" w:line="240"/>
        <w:jc w:val="both"/>
      </w:pPr>
      <w:r>
        <w:rPr>
          <w:rStyle w:val="FootnoteReference"/>
        </w:rPr>
        <w:footnoteRef/>
      </w:r>
      <w:r>
        <w:rPr>
          <w:rFonts w:ascii="David" w:cs="David" w:eastAsia="David" w:hAnsi="David"/>
          <w:sz w:val="20"/>
          <w:szCs w:val="20"/>
          <w:rtl w:val="false"/>
        </w:rPr>
        <w:t xml:space="preserve"> Anthony A. Braga, David Weisburd &amp; Brandon Turchan, ‎</w:t>
      </w:r>
      <w:r>
        <w:rPr>
          <w:rFonts w:ascii="David" w:cs="David" w:eastAsia="David" w:hAnsi="David"/>
          <w:i/>
          <w:iCs/>
          <w:sz w:val="20"/>
          <w:szCs w:val="20"/>
          <w:rtl w:val="false"/>
        </w:rPr>
        <w:t xml:space="preserve">Focused Deterrence Strategies Effects on Crime: A Systematic Review‎</w:t>
      </w:r>
      <w:r>
        <w:rPr>
          <w:rFonts w:ascii="David" w:cs="David" w:eastAsia="David" w:hAnsi="David"/>
          <w:sz w:val="20"/>
          <w:szCs w:val="20"/>
          <w:rtl w:val="false"/>
        </w:rPr>
        <w:t xml:space="preserve">, 15 CAMPBELL SYSTEMATIC REVS. e1051, §§ 1.2, 1.4, 2.6 (2019).‎</w:t>
      </w:r>
    </w:p>
  </w:footnote>
  <w:footnote w:id="23">
    <w:p>
      <w:pPr>
        <w:bidi/>
        <w:spacing w:after="40" w:line="240"/>
        <w:jc w:val="both"/>
      </w:pPr>
      <w:r>
        <w:rPr>
          <w:rStyle w:val="FootnoteReference"/>
        </w:rPr>
        <w:footnoteRef/>
      </w:r>
      <w:r>
        <w:rPr>
          <w:rFonts w:ascii="David" w:cs="David" w:eastAsia="David" w:hAnsi="David"/>
          <w:sz w:val="20"/>
          <w:szCs w:val="20"/>
          <w:rtl w:val="false"/>
        </w:rPr>
        <w:t xml:space="preserve"> Michael S. Scott, Focused Deterrence of High-Risk Individuals 8 (Problem-Oriented Guides for Police, Response Guide Series No. 13, 2017).‎</w:t>
      </w:r>
    </w:p>
  </w:footnote>
  <w:footnote w:id="2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14, בעמ' 301.</w:t>
      </w:r>
    </w:p>
  </w:footnote>
  <w:footnote w:id="25">
    <w:p>
      <w:pPr>
        <w:bidi/>
        <w:spacing w:after="40" w:line="240"/>
        <w:jc w:val="both"/>
      </w:pPr>
      <w:r>
        <w:rPr>
          <w:rStyle w:val="FootnoteReference"/>
        </w:rPr>
        <w:footnoteRef/>
      </w:r>
      <w:r>
        <w:rPr>
          <w:rFonts w:ascii="David" w:cs="David" w:eastAsia="David" w:hAnsi="David"/>
          <w:sz w:val="20"/>
          <w:szCs w:val="20"/>
          <w:rtl/>
        </w:rPr>
        <w:t xml:space="preserve"> שם, בעמ' 209.</w:t>
      </w:r>
    </w:p>
  </w:footnote>
  <w:footnote w:id="26">
    <w:p>
      <w:pPr>
        <w:bidi/>
        <w:spacing w:after="40" w:line="240"/>
        <w:jc w:val="both"/>
      </w:pPr>
      <w:r>
        <w:rPr>
          <w:rStyle w:val="FootnoteReference"/>
        </w:rPr>
        <w:footnoteRef/>
      </w:r>
      <w:r>
        <w:rPr>
          <w:rFonts w:ascii="David" w:cs="David" w:eastAsia="David" w:hAnsi="David"/>
          <w:sz w:val="20"/>
          <w:szCs w:val="20"/>
          <w:rtl w:val="false"/>
        </w:rPr>
        <w:t xml:space="preserve"> Alexandra Natapoff, ‎</w:t>
      </w:r>
      <w:r>
        <w:rPr>
          <w:rFonts w:ascii="David" w:cs="David" w:eastAsia="David" w:hAnsi="David"/>
          <w:i/>
          <w:iCs/>
          <w:sz w:val="20"/>
          <w:szCs w:val="20"/>
          <w:rtl w:val="false"/>
        </w:rPr>
        <w:t xml:space="preserve">Underenforcement‎</w:t>
      </w:r>
      <w:r>
        <w:rPr>
          <w:rFonts w:ascii="David" w:cs="David" w:eastAsia="David" w:hAnsi="David"/>
          <w:sz w:val="20"/>
          <w:szCs w:val="20"/>
          <w:rtl w:val="false"/>
        </w:rPr>
        <w:t xml:space="preserve">, 75 FORDHAM L. REV. 1715, 1715-1719 (2006).‎</w:t>
      </w:r>
    </w:p>
  </w:footnote>
  <w:footnote w:id="27">
    <w:p>
      <w:pPr>
        <w:bidi/>
        <w:spacing w:after="40" w:line="240"/>
        <w:jc w:val="both"/>
      </w:pPr>
      <w:r>
        <w:rPr>
          <w:rStyle w:val="FootnoteReference"/>
        </w:rPr>
        <w:footnoteRef/>
      </w:r>
      <w:r>
        <w:rPr>
          <w:rFonts w:ascii="David" w:cs="David" w:eastAsia="David" w:hAnsi="David"/>
          <w:sz w:val="20"/>
          <w:szCs w:val="20"/>
          <w:rtl/>
        </w:rPr>
        <w:t xml:space="preserve"> באדי חסייסי ויעל ליטמנוביץ "חתירה למגע אחר: שיטור החברה הערבית בישראל, נקודת המבט של מפקדי תחנות" </w:t>
      </w:r>
      <w:r>
        <w:rPr>
          <w:rFonts w:ascii="David" w:cs="David" w:eastAsia="David" w:hAnsi="David"/>
          <w:b/>
          <w:bCs/>
          <w:sz w:val="20"/>
          <w:szCs w:val="20"/>
          <w:rtl/>
        </w:rPr>
        <w:t xml:space="preserve">העיקר במחקר</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val="false"/>
        </w:rPr>
        <w:t xml:space="preserve"> 119, 121 (2017).</w:t>
      </w:r>
    </w:p>
  </w:footnote>
  <w:footnote w:id="28">
    <w:p>
      <w:pPr>
        <w:bidi/>
        <w:spacing w:after="40" w:line="240"/>
        <w:jc w:val="both"/>
      </w:pPr>
      <w:r>
        <w:rPr>
          <w:rStyle w:val="FootnoteReference"/>
        </w:rPr>
        <w:footnoteRef/>
      </w:r>
      <w:r>
        <w:rPr>
          <w:rFonts w:ascii="David" w:cs="David" w:eastAsia="David" w:hAnsi="David"/>
          <w:sz w:val="20"/>
          <w:szCs w:val="20"/>
          <w:rtl/>
        </w:rPr>
        <w:t xml:space="preserve"> יעל ליטמנוביץ, באדי חסייסי, דיויד וייסבורד ושני תשובה "מחקר הערכת תכנית אמו"ן: טיפול משטרת ישראל בעבירות ירי בחברה הערבית" </w:t>
      </w:r>
      <w:r>
        <w:rPr>
          <w:rFonts w:ascii="David" w:cs="David" w:eastAsia="David" w:hAnsi="David"/>
          <w:b/>
          <w:bCs/>
          <w:sz w:val="20"/>
          <w:szCs w:val="20"/>
          <w:rtl/>
        </w:rPr>
        <w:t xml:space="preserve">העיקר במחקר</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val="false"/>
        </w:rPr>
        <w:t xml:space="preserve"> 226, 231 (2020).</w:t>
      </w:r>
    </w:p>
  </w:footnote>
  <w:footnote w:id="29">
    <w:p>
      <w:pPr>
        <w:bidi/>
        <w:spacing w:after="40" w:line="240"/>
        <w:jc w:val="both"/>
      </w:pPr>
      <w:r>
        <w:rPr>
          <w:rStyle w:val="FootnoteReference"/>
        </w:rPr>
        <w:footnoteRef/>
      </w:r>
      <w:r>
        <w:rPr>
          <w:rFonts w:ascii="David" w:cs="David" w:eastAsia="David" w:hAnsi="David"/>
          <w:sz w:val="20"/>
          <w:szCs w:val="20"/>
          <w:rtl w:val="false"/>
        </w:rPr>
        <w:t xml:space="preserve"> Monica C. Bell, ‎</w:t>
      </w:r>
      <w:r>
        <w:rPr>
          <w:rFonts w:ascii="David" w:cs="David" w:eastAsia="David" w:hAnsi="David"/>
          <w:i/>
          <w:iCs/>
          <w:sz w:val="20"/>
          <w:szCs w:val="20"/>
          <w:rtl w:val="false"/>
        </w:rPr>
        <w:t xml:space="preserve">Police Reform and the Dismantling of Legal Estrangement‎</w:t>
      </w:r>
      <w:r>
        <w:rPr>
          <w:rFonts w:ascii="David" w:cs="David" w:eastAsia="David" w:hAnsi="David"/>
          <w:sz w:val="20"/>
          <w:szCs w:val="20"/>
          <w:rtl w:val="false"/>
        </w:rPr>
        <w:t xml:space="preserve">, 126 YALE L.J. 2054, 2054 (2017).‎</w:t>
      </w:r>
    </w:p>
  </w:footnote>
  <w:footnote w:id="3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Sunshine &amp; Tyler‎</w:t>
      </w:r>
      <w:r>
        <w:rPr>
          <w:rFonts w:ascii="David" w:cs="David" w:eastAsia="David" w:hAnsi="David"/>
          <w:sz w:val="20"/>
          <w:szCs w:val="20"/>
          <w:rtl/>
        </w:rPr>
        <w:t xml:space="preserve">, לעיל ה"ש 11, בעמ' 513.</w:t>
      </w:r>
    </w:p>
  </w:footnote>
  <w:footnote w:id="31">
    <w:p>
      <w:pPr>
        <w:bidi/>
        <w:spacing w:after="40" w:line="240"/>
        <w:jc w:val="both"/>
      </w:pPr>
      <w:r>
        <w:rPr>
          <w:rStyle w:val="FootnoteReference"/>
        </w:rPr>
        <w:footnoteRef/>
      </w:r>
      <w:r>
        <w:rPr>
          <w:rFonts w:ascii="David" w:cs="David" w:eastAsia="David" w:hAnsi="David"/>
          <w:sz w:val="20"/>
          <w:szCs w:val="20"/>
          <w:rtl w:val="false"/>
        </w:rPr>
        <w:t xml:space="preserve"> Tom R. Tyler, Phillip Atiba Goff &amp; Robert J. MacCoun, ‎</w:t>
      </w:r>
      <w:r>
        <w:rPr>
          <w:rFonts w:ascii="David" w:cs="David" w:eastAsia="David" w:hAnsi="David"/>
          <w:i/>
          <w:iCs/>
          <w:sz w:val="20"/>
          <w:szCs w:val="20"/>
          <w:rtl w:val="false"/>
        </w:rPr>
        <w:t xml:space="preserve">The Impact of Psychological Science on Policing in the United States: Procedural Justice, Legitimacy, and Effective Law Enforcement‎</w:t>
      </w:r>
      <w:r>
        <w:rPr>
          <w:rFonts w:ascii="David" w:cs="David" w:eastAsia="David" w:hAnsi="David"/>
          <w:sz w:val="20"/>
          <w:szCs w:val="20"/>
          <w:rtl w:val="false"/>
        </w:rPr>
        <w:t xml:space="preserve">, 16 PSYCHOL. SCI. PUB. INT. 75, 75 (2015).‎</w:t>
      </w:r>
    </w:p>
  </w:footnote>
  <w:footnote w:id="32">
    <w:p>
      <w:pPr>
        <w:bidi/>
        <w:spacing w:after="40" w:line="240"/>
        <w:jc w:val="both"/>
      </w:pPr>
      <w:r>
        <w:rPr>
          <w:rStyle w:val="FootnoteReference"/>
        </w:rPr>
        <w:footnoteRef/>
      </w:r>
      <w:r>
        <w:rPr>
          <w:rFonts w:ascii="David" w:cs="David" w:eastAsia="David" w:hAnsi="David"/>
          <w:sz w:val="20"/>
          <w:szCs w:val="20"/>
          <w:rtl w:val="false"/>
        </w:rPr>
        <w:t xml:space="preserve"> Wesley G. Skogan, ‎</w:t>
      </w:r>
      <w:r>
        <w:rPr>
          <w:rFonts w:ascii="David" w:cs="David" w:eastAsia="David" w:hAnsi="David"/>
          <w:i/>
          <w:iCs/>
          <w:sz w:val="20"/>
          <w:szCs w:val="20"/>
          <w:rtl w:val="false"/>
        </w:rPr>
        <w:t xml:space="preserve">Asymmetry in the Impact of Encounters with Police‎</w:t>
      </w:r>
      <w:r>
        <w:rPr>
          <w:rFonts w:ascii="David" w:cs="David" w:eastAsia="David" w:hAnsi="David"/>
          <w:sz w:val="20"/>
          <w:szCs w:val="20"/>
          <w:rtl w:val="false"/>
        </w:rPr>
        <w:t xml:space="preserve">, 16 POLICING &amp; SOC'Y 99, 112-113, 117-118 (2006).‎</w:t>
      </w:r>
    </w:p>
  </w:footnote>
  <w:footnote w:id="33">
    <w:p>
      <w:pPr>
        <w:bidi/>
        <w:spacing w:after="40" w:line="240"/>
        <w:jc w:val="both"/>
      </w:pPr>
      <w:r>
        <w:rPr>
          <w:rStyle w:val="FootnoteReference"/>
        </w:rPr>
        <w:footnoteRef/>
      </w:r>
      <w:r>
        <w:rPr>
          <w:rFonts w:ascii="David" w:cs="David" w:eastAsia="David" w:hAnsi="David"/>
          <w:sz w:val="20"/>
          <w:szCs w:val="20"/>
          <w:rtl w:val="false"/>
        </w:rPr>
        <w:t xml:space="preserve"> Matthew Desmond, Andrew V. Papachristos &amp; David S. Kirk, ‎</w:t>
      </w:r>
      <w:r>
        <w:rPr>
          <w:rFonts w:ascii="David" w:cs="David" w:eastAsia="David" w:hAnsi="David"/>
          <w:i/>
          <w:iCs/>
          <w:sz w:val="20"/>
          <w:szCs w:val="20"/>
          <w:rtl w:val="false"/>
        </w:rPr>
        <w:t xml:space="preserve">Police Violence and Citizen Crime Reporting in the Black Community‎</w:t>
      </w:r>
      <w:r>
        <w:rPr>
          <w:rFonts w:ascii="David" w:cs="David" w:eastAsia="David" w:hAnsi="David"/>
          <w:sz w:val="20"/>
          <w:szCs w:val="20"/>
          <w:rtl w:val="false"/>
        </w:rPr>
        <w:t xml:space="preserve">, 81 AM. SOCIO. REV. 857, 865-868 (2016).‎</w:t>
      </w:r>
    </w:p>
  </w:footnote>
  <w:footnote w:id="34">
    <w:p>
      <w:pPr>
        <w:bidi/>
        <w:spacing w:after="40" w:line="240"/>
        <w:jc w:val="both"/>
      </w:pPr>
      <w:r>
        <w:rPr>
          <w:rStyle w:val="FootnoteReference"/>
        </w:rPr>
        <w:footnoteRef/>
      </w:r>
      <w:r>
        <w:rPr>
          <w:rFonts w:ascii="David" w:cs="David" w:eastAsia="David" w:hAnsi="David"/>
          <w:sz w:val="20"/>
          <w:szCs w:val="20"/>
          <w:rtl/>
        </w:rPr>
        <w:t xml:space="preserve"> ע"פ 9878/09 </w:t>
      </w:r>
      <w:r>
        <w:rPr>
          <w:rFonts w:ascii="David" w:cs="David" w:eastAsia="David" w:hAnsi="David"/>
          <w:b/>
          <w:bCs/>
          <w:sz w:val="20"/>
          <w:szCs w:val="20"/>
          <w:rtl/>
        </w:rPr>
        <w:t xml:space="preserve">מדינת ישראל נ' מוסא</w:t>
      </w:r>
      <w:r>
        <w:rPr>
          <w:rFonts w:ascii="David" w:cs="David" w:eastAsia="David" w:hAnsi="David"/>
          <w:sz w:val="20"/>
          <w:szCs w:val="20"/>
          <w:rtl/>
        </w:rPr>
        <w:t xml:space="preserve">, פס' 29 (נבו 20.9.2010).</w:t>
      </w:r>
    </w:p>
  </w:footnote>
  <w:footnote w:id="35">
    <w:p>
      <w:pPr>
        <w:bidi/>
        <w:spacing w:after="40" w:line="240"/>
        <w:jc w:val="both"/>
      </w:pPr>
      <w:r>
        <w:rPr>
          <w:rStyle w:val="FootnoteReference"/>
        </w:rPr>
        <w:footnoteRef/>
      </w:r>
      <w:r>
        <w:rPr>
          <w:rFonts w:ascii="David" w:cs="David" w:eastAsia="David" w:hAnsi="David"/>
          <w:sz w:val="20"/>
          <w:szCs w:val="20"/>
          <w:rtl/>
        </w:rPr>
        <w:t xml:space="preserve"> ס' 2 לחוק החזקת תעודת זהות והצגתה, התשמ"ג–1982;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13, בפס' 22, 36-35 לפסק דינה של הנשיאה חיות.</w:t>
      </w:r>
    </w:p>
  </w:footnote>
  <w:footnote w:id="36">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13, בפס' 41 לפסק דינה של הנשיאה חיות.</w:t>
      </w:r>
    </w:p>
  </w:footnote>
  <w:footnote w:id="37">
    <w:p>
      <w:pPr>
        <w:bidi/>
        <w:spacing w:after="40" w:line="240"/>
        <w:jc w:val="both"/>
      </w:pPr>
      <w:r>
        <w:rPr>
          <w:rStyle w:val="FootnoteReference"/>
        </w:rPr>
        <w:footnoteRef/>
      </w:r>
      <w:r>
        <w:rPr>
          <w:rFonts w:ascii="David" w:cs="David" w:eastAsia="David" w:hAnsi="David"/>
          <w:sz w:val="20"/>
          <w:szCs w:val="20"/>
          <w:rtl/>
        </w:rPr>
        <w:t xml:space="preserve"> ס' 3 לפקודת המשטרה [נוסח חדש], התשל"א–1971.</w:t>
      </w:r>
    </w:p>
  </w:footnote>
  <w:footnote w:id="38">
    <w:p>
      <w:pPr>
        <w:bidi/>
        <w:spacing w:after="40" w:line="240"/>
        <w:jc w:val="both"/>
      </w:pPr>
      <w:r>
        <w:rPr>
          <w:rStyle w:val="FootnoteReference"/>
        </w:rPr>
        <w:footnoteRef/>
      </w:r>
      <w:r>
        <w:rPr>
          <w:rFonts w:ascii="David" w:cs="David" w:eastAsia="David" w:hAnsi="David"/>
          <w:sz w:val="20"/>
          <w:szCs w:val="20"/>
          <w:rtl/>
        </w:rPr>
        <w:t xml:space="preserve"> בג"ץ 5887/17 </w:t>
      </w:r>
      <w:r>
        <w:rPr>
          <w:rFonts w:ascii="David" w:cs="David" w:eastAsia="David" w:hAnsi="David"/>
          <w:b/>
          <w:bCs/>
          <w:sz w:val="20"/>
          <w:szCs w:val="20"/>
          <w:rtl/>
        </w:rPr>
        <w:t xml:space="preserve">ג'בארין נ' משטרת ישראל</w:t>
      </w:r>
      <w:r>
        <w:rPr>
          <w:rFonts w:ascii="David" w:cs="David" w:eastAsia="David" w:hAnsi="David"/>
          <w:sz w:val="20"/>
          <w:szCs w:val="20"/>
          <w:rtl/>
        </w:rPr>
        <w:t xml:space="preserve"> (נבו 25.7.2017).</w:t>
      </w:r>
    </w:p>
  </w:footnote>
  <w:footnote w:id="39">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13, בפס' 7 לפסק דינו של השופט שטיין.</w:t>
      </w:r>
    </w:p>
  </w:footnote>
  <w:footnote w:id="40">
    <w:p>
      <w:pPr>
        <w:bidi/>
        <w:spacing w:after="40" w:line="240"/>
        <w:jc w:val="both"/>
      </w:pPr>
      <w:r>
        <w:rPr>
          <w:rStyle w:val="FootnoteReference"/>
        </w:rPr>
        <w:footnoteRef/>
      </w:r>
      <w:r>
        <w:rPr>
          <w:rFonts w:ascii="David" w:cs="David" w:eastAsia="David" w:hAnsi="David"/>
          <w:sz w:val="20"/>
          <w:szCs w:val="20"/>
          <w:rtl/>
        </w:rPr>
        <w:t xml:space="preserve"> ס' 74-67 לחוק סדר הדין הפלילי (סמכויות אכיפה – מעצרים), התשנ"ו–1996.</w:t>
      </w:r>
    </w:p>
  </w:footnote>
  <w:footnote w:id="41">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13, בפס' 36 לפסק דינה של הנשיאה חיות.</w:t>
      </w:r>
    </w:p>
  </w:footnote>
  <w:footnote w:id="42">
    <w:p>
      <w:pPr>
        <w:bidi/>
        <w:spacing w:after="40" w:line="240"/>
        <w:jc w:val="both"/>
      </w:pPr>
      <w:r>
        <w:rPr>
          <w:rStyle w:val="FootnoteReference"/>
        </w:rPr>
        <w:footnoteRef/>
      </w:r>
      <w:r>
        <w:rPr>
          <w:rFonts w:ascii="David" w:cs="David" w:eastAsia="David" w:hAnsi="David"/>
          <w:sz w:val="20"/>
          <w:szCs w:val="20"/>
          <w:rtl/>
        </w:rPr>
        <w:t xml:space="preserve"> רע"פ 2161/21 </w:t>
      </w:r>
      <w:r>
        <w:rPr>
          <w:rFonts w:ascii="David" w:cs="David" w:eastAsia="David" w:hAnsi="David"/>
          <w:b/>
          <w:bCs/>
          <w:sz w:val="20"/>
          <w:szCs w:val="20"/>
          <w:rtl/>
        </w:rPr>
        <w:t xml:space="preserve">משאיך נ' מדינת ישראל</w:t>
      </w:r>
      <w:r>
        <w:rPr>
          <w:rFonts w:ascii="David" w:cs="David" w:eastAsia="David" w:hAnsi="David"/>
          <w:sz w:val="20"/>
          <w:szCs w:val="20"/>
          <w:rtl/>
        </w:rPr>
        <w:t xml:space="preserve">, פס' 16 להחלטתו של השופט קרא (נבו 18.7.2021).</w:t>
      </w:r>
    </w:p>
  </w:footnote>
  <w:footnote w:id="43">
    <w:p>
      <w:pPr>
        <w:bidi/>
        <w:spacing w:after="40" w:line="240"/>
        <w:jc w:val="both"/>
      </w:pPr>
      <w:r>
        <w:rPr>
          <w:rStyle w:val="FootnoteReference"/>
        </w:rPr>
        <w:footnoteRef/>
      </w:r>
      <w:r>
        <w:rPr>
          <w:rFonts w:ascii="David" w:cs="David" w:eastAsia="David" w:hAnsi="David"/>
          <w:sz w:val="20"/>
          <w:szCs w:val="20"/>
          <w:rtl/>
        </w:rPr>
        <w:t xml:space="preserve"> רע"פ 3829/15 </w:t>
      </w:r>
      <w:r>
        <w:rPr>
          <w:rFonts w:ascii="David" w:cs="David" w:eastAsia="David" w:hAnsi="David"/>
          <w:b/>
          <w:bCs/>
          <w:sz w:val="20"/>
          <w:szCs w:val="20"/>
          <w:rtl/>
        </w:rPr>
        <w:t xml:space="preserve">קסאי נ' מדינת ישראל</w:t>
      </w:r>
      <w:r>
        <w:rPr>
          <w:rFonts w:ascii="David" w:cs="David" w:eastAsia="David" w:hAnsi="David"/>
          <w:sz w:val="20"/>
          <w:szCs w:val="20"/>
          <w:rtl/>
        </w:rPr>
        <w:t xml:space="preserve"> (נבו 20.12.2018).</w:t>
      </w:r>
    </w:p>
  </w:footnote>
  <w:footnote w:id="44">
    <w:p>
      <w:pPr>
        <w:bidi/>
        <w:spacing w:after="40" w:line="240"/>
        <w:jc w:val="both"/>
      </w:pPr>
      <w:r>
        <w:rPr>
          <w:rStyle w:val="FootnoteReference"/>
        </w:rPr>
        <w:footnoteRef/>
      </w:r>
      <w:r>
        <w:rPr>
          <w:rFonts w:ascii="David" w:cs="David" w:eastAsia="David" w:hAnsi="David"/>
          <w:sz w:val="20"/>
          <w:szCs w:val="20"/>
          <w:rtl/>
        </w:rPr>
        <w:t xml:space="preserve"> רע"פ 3199/20 </w:t>
      </w:r>
      <w:r>
        <w:rPr>
          <w:rFonts w:ascii="David" w:cs="David" w:eastAsia="David" w:hAnsi="David"/>
          <w:b/>
          <w:bCs/>
          <w:sz w:val="20"/>
          <w:szCs w:val="20"/>
          <w:rtl/>
        </w:rPr>
        <w:t xml:space="preserve">זייצב נ' מדינת ישראל</w:t>
      </w:r>
      <w:r>
        <w:rPr>
          <w:rFonts w:ascii="David" w:cs="David" w:eastAsia="David" w:hAnsi="David"/>
          <w:sz w:val="20"/>
          <w:szCs w:val="20"/>
          <w:rtl/>
        </w:rPr>
        <w:t xml:space="preserve">, פס' 16 לפסק דינו של השופט אלרון (נבו 12.8.2021).</w:t>
      </w:r>
    </w:p>
  </w:footnote>
  <w:footnote w:id="45">
    <w:p>
      <w:pPr>
        <w:bidi/>
        <w:spacing w:after="40" w:line="240"/>
        <w:jc w:val="both"/>
      </w:pPr>
      <w:r>
        <w:rPr>
          <w:rStyle w:val="FootnoteReference"/>
        </w:rPr>
        <w:footnoteRef/>
      </w:r>
      <w:r>
        <w:rPr>
          <w:rFonts w:ascii="David" w:cs="David" w:eastAsia="David" w:hAnsi="David"/>
          <w:sz w:val="20"/>
          <w:szCs w:val="20"/>
          <w:rtl/>
        </w:rPr>
        <w:t xml:space="preserve"> בג"ץ 6396/96 </w:t>
      </w:r>
      <w:r>
        <w:rPr>
          <w:rFonts w:ascii="David" w:cs="David" w:eastAsia="David" w:hAnsi="David"/>
          <w:b/>
          <w:bCs/>
          <w:sz w:val="20"/>
          <w:szCs w:val="20"/>
          <w:rtl/>
        </w:rPr>
        <w:t xml:space="preserve">זקין נ' ראש עיריית באר-שבע</w:t>
      </w:r>
      <w:r>
        <w:rPr>
          <w:rFonts w:ascii="David" w:cs="David" w:eastAsia="David" w:hAnsi="David"/>
          <w:sz w:val="20"/>
          <w:szCs w:val="20"/>
          <w:rtl/>
        </w:rPr>
        <w:t xml:space="preserve">, פ"ד נג(3) 289 (1999).</w:t>
      </w:r>
    </w:p>
  </w:footnote>
  <w:footnote w:id="46">
    <w:p>
      <w:pPr>
        <w:bidi/>
        <w:spacing w:after="40" w:line="240"/>
        <w:jc w:val="both"/>
      </w:pPr>
      <w:r>
        <w:rPr>
          <w:rStyle w:val="FootnoteReference"/>
        </w:rPr>
        <w:footnoteRef/>
      </w:r>
      <w:r>
        <w:rPr>
          <w:rFonts w:ascii="David" w:cs="David" w:eastAsia="David" w:hAnsi="David"/>
          <w:sz w:val="20"/>
          <w:szCs w:val="20"/>
          <w:rtl w:val="false"/>
        </w:rPr>
        <w:t xml:space="preserve"> Tal Jonathan-Zamir &amp; Gali Perry, ‎</w:t>
      </w:r>
      <w:r>
        <w:rPr>
          <w:rFonts w:ascii="David" w:cs="David" w:eastAsia="David" w:hAnsi="David"/>
          <w:i/>
          <w:iCs/>
          <w:sz w:val="20"/>
          <w:szCs w:val="20"/>
          <w:rtl w:val="false"/>
        </w:rPr>
        <w:t xml:space="preserve">A Landmark in the Study of Proactive Policing: Commentary on Proactive Policing: Effects on Crime and Communities‎</w:t>
      </w:r>
      <w:r>
        <w:rPr>
          <w:rFonts w:ascii="David" w:cs="David" w:eastAsia="David" w:hAnsi="David"/>
          <w:sz w:val="20"/>
          <w:szCs w:val="20"/>
          <w:rtl w:val="false"/>
        </w:rPr>
        <w:t xml:space="preserve">, 24 JERUSALEM REV. LEGAL STUD. 1, 1 (2021).‎</w:t>
      </w:r>
    </w:p>
  </w:footnote>
  <w:footnote w:id="47">
    <w:p>
      <w:pPr>
        <w:bidi/>
        <w:spacing w:after="40" w:line="240"/>
        <w:jc w:val="both"/>
      </w:pPr>
      <w:r>
        <w:rPr>
          <w:rStyle w:val="FootnoteReference"/>
        </w:rPr>
        <w:footnoteRef/>
      </w:r>
      <w:r>
        <w:rPr>
          <w:rFonts w:ascii="David" w:cs="David" w:eastAsia="David" w:hAnsi="David"/>
          <w:sz w:val="20"/>
          <w:szCs w:val="20"/>
          <w:rtl/>
        </w:rPr>
        <w:t xml:space="preserve"> משטרת ישראל, אגף התכנון והארגון "רפורמת אמו"ן במשטרת ישראל: מרעיון מסדר לשינוי עומק" </w:t>
      </w:r>
      <w:r>
        <w:rPr>
          <w:rFonts w:ascii="David" w:cs="David" w:eastAsia="David" w:hAnsi="David"/>
          <w:b/>
          <w:bCs/>
          <w:sz w:val="20"/>
          <w:szCs w:val="20"/>
          <w:rtl/>
        </w:rPr>
        <w:t xml:space="preserve">העיקר במחקר</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val="false"/>
        </w:rPr>
        <w:t xml:space="preserve"> 11, 11 (2017).</w:t>
      </w:r>
    </w:p>
  </w:footnote>
  <w:footnote w:id="48">
    <w:p>
      <w:pPr>
        <w:bidi/>
        <w:spacing w:after="40" w:line="240"/>
        <w:jc w:val="both"/>
      </w:pPr>
      <w:r>
        <w:rPr>
          <w:rStyle w:val="FootnoteReference"/>
        </w:rPr>
        <w:footnoteRef/>
      </w:r>
      <w:r>
        <w:rPr>
          <w:rFonts w:ascii="David" w:cs="David" w:eastAsia="David" w:hAnsi="David"/>
          <w:sz w:val="20"/>
          <w:szCs w:val="20"/>
          <w:rtl/>
        </w:rPr>
        <w:t xml:space="preserve"> שם, בעמ' 12.</w:t>
      </w:r>
    </w:p>
  </w:footnote>
  <w:footnote w:id="49">
    <w:p>
      <w:pPr>
        <w:bidi/>
        <w:spacing w:after="40" w:line="240"/>
        <w:jc w:val="both"/>
      </w:pPr>
      <w:r>
        <w:rPr>
          <w:rStyle w:val="FootnoteReference"/>
        </w:rPr>
        <w:footnoteRef/>
      </w:r>
      <w:r>
        <w:rPr>
          <w:rFonts w:ascii="David" w:cs="David" w:eastAsia="David" w:hAnsi="David"/>
          <w:sz w:val="20"/>
          <w:szCs w:val="20"/>
          <w:rtl/>
        </w:rPr>
        <w:t xml:space="preserve"> דיויד וייסבורד, באדי חסייסי, יעל לטמנוביץ, תומר כרמל ושני תשובה "מחקר הערכת תכנית אמו"ן: דו"ח מספר 1, סל עבירות פע"ר" </w:t>
      </w:r>
      <w:r>
        <w:rPr>
          <w:rFonts w:ascii="David" w:cs="David" w:eastAsia="David" w:hAnsi="David"/>
          <w:b/>
          <w:bCs/>
          <w:sz w:val="20"/>
          <w:szCs w:val="20"/>
          <w:rtl/>
        </w:rPr>
        <w:t xml:space="preserve">העיקר במחקר</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val="false"/>
        </w:rPr>
        <w:t xml:space="preserve"> 75, 77 (2018).</w:t>
      </w:r>
    </w:p>
  </w:footnote>
  <w:footnote w:id="50">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154.</w:t>
      </w:r>
    </w:p>
  </w:footnote>
  <w:footnote w:id="51">
    <w:p>
      <w:pPr>
        <w:bidi/>
        <w:spacing w:after="40" w:line="240"/>
        <w:jc w:val="both"/>
      </w:pPr>
      <w:r>
        <w:rPr>
          <w:rStyle w:val="FootnoteReference"/>
        </w:rPr>
        <w:footnoteRef/>
      </w:r>
      <w:r>
        <w:rPr>
          <w:rFonts w:ascii="David" w:cs="David" w:eastAsia="David" w:hAnsi="David"/>
          <w:sz w:val="20"/>
          <w:szCs w:val="20"/>
          <w:rtl/>
        </w:rPr>
        <w:t xml:space="preserve"> יהודה קייסי "השיטור הקלאסי: הבסיס המחקרי לרפורמת אמו"ן במשטרת ישראל" </w:t>
      </w:r>
      <w:r>
        <w:rPr>
          <w:rFonts w:ascii="David" w:cs="David" w:eastAsia="David" w:hAnsi="David"/>
          <w:b/>
          <w:bCs/>
          <w:sz w:val="20"/>
          <w:szCs w:val="20"/>
          <w:rtl/>
        </w:rPr>
        <w:t xml:space="preserve">העיקר במחקר</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val="false"/>
        </w:rPr>
        <w:t xml:space="preserve"> 13, 13 (2017).</w:t>
      </w:r>
    </w:p>
  </w:footnote>
  <w:footnote w:id="52">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156-155.</w:t>
      </w:r>
    </w:p>
  </w:footnote>
  <w:footnote w:id="53">
    <w:p>
      <w:pPr>
        <w:bidi/>
        <w:spacing w:after="40" w:line="240"/>
        <w:jc w:val="both"/>
      </w:pPr>
      <w:r>
        <w:rPr>
          <w:rStyle w:val="FootnoteReference"/>
        </w:rPr>
        <w:footnoteRef/>
      </w:r>
      <w:r>
        <w:rPr>
          <w:rFonts w:ascii="David" w:cs="David" w:eastAsia="David" w:hAnsi="David"/>
          <w:sz w:val="20"/>
          <w:szCs w:val="20"/>
          <w:rtl/>
        </w:rPr>
        <w:t xml:space="preserve"> שם, בעמ' 156.</w:t>
      </w:r>
    </w:p>
  </w:footnote>
  <w:footnote w:id="5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Eck &amp; Spelman‎</w:t>
      </w:r>
      <w:r>
        <w:rPr>
          <w:rFonts w:ascii="David" w:cs="David" w:eastAsia="David" w:hAnsi="David"/>
          <w:sz w:val="20"/>
          <w:szCs w:val="20"/>
          <w:rtl/>
        </w:rPr>
        <w:t xml:space="preserve">, לעיל ה"ש 17, בעמ' </w:t>
      </w:r>
      <w:r>
        <w:rPr>
          <w:rFonts w:ascii="David" w:cs="David" w:eastAsia="David" w:hAnsi="David"/>
          <w:sz w:val="20"/>
          <w:szCs w:val="20"/>
          <w:rtl w:val="false"/>
        </w:rPr>
        <w:t xml:space="preserve">xix.‎</w:t>
      </w:r>
    </w:p>
  </w:footnote>
  <w:footnote w:id="55">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157.</w:t>
      </w:r>
    </w:p>
  </w:footnote>
  <w:footnote w:id="56">
    <w:p>
      <w:pPr>
        <w:bidi/>
        <w:spacing w:after="40" w:line="240"/>
        <w:jc w:val="both"/>
      </w:pPr>
      <w:r>
        <w:rPr>
          <w:rStyle w:val="FootnoteReference"/>
        </w:rPr>
        <w:footnoteRef/>
      </w:r>
      <w:r>
        <w:rPr>
          <w:rFonts w:ascii="David" w:cs="David" w:eastAsia="David" w:hAnsi="David"/>
          <w:sz w:val="20"/>
          <w:szCs w:val="20"/>
          <w:rtl/>
        </w:rPr>
        <w:t xml:space="preserve"> מאיר אלרן, אפרים לביא, מני יצחקי ומוחמד ותד </w:t>
      </w:r>
      <w:r>
        <w:rPr>
          <w:rFonts w:ascii="David" w:cs="David" w:eastAsia="David" w:hAnsi="David"/>
          <w:b/>
          <w:bCs/>
          <w:sz w:val="20"/>
          <w:szCs w:val="20"/>
          <w:rtl/>
        </w:rPr>
        <w:t xml:space="preserve">המלצות למדיניות התמודדות לאומית עם האלימות והפשיעה בחברה הערבית בישראל</w:t>
      </w:r>
      <w:r>
        <w:rPr>
          <w:rFonts w:ascii="David" w:cs="David" w:eastAsia="David" w:hAnsi="David"/>
          <w:sz w:val="20"/>
          <w:szCs w:val="20"/>
          <w:rtl/>
        </w:rPr>
        <w:t xml:space="preserve"> 4-3 (המכון למחקרי ביטחון לאומי, 2021).</w:t>
      </w:r>
    </w:p>
  </w:footnote>
  <w:footnote w:id="57">
    <w:p>
      <w:pPr>
        <w:bidi/>
        <w:spacing w:after="40" w:line="240"/>
        <w:jc w:val="both"/>
      </w:pPr>
      <w:r>
        <w:rPr>
          <w:rStyle w:val="FootnoteReference"/>
        </w:rPr>
        <w:footnoteRef/>
      </w:r>
      <w:r>
        <w:rPr>
          <w:rFonts w:ascii="David" w:cs="David" w:eastAsia="David" w:hAnsi="David"/>
          <w:sz w:val="20"/>
          <w:szCs w:val="20"/>
          <w:rtl/>
        </w:rPr>
        <w:t xml:space="preserve"> מיכאל בירנהק </w:t>
      </w:r>
      <w:r>
        <w:rPr>
          <w:rFonts w:ascii="David" w:cs="David" w:eastAsia="David" w:hAnsi="David"/>
          <w:b/>
          <w:bCs/>
          <w:sz w:val="20"/>
          <w:szCs w:val="20"/>
          <w:rtl/>
        </w:rPr>
        <w:t xml:space="preserve">פרטיות חוקתית</w:t>
      </w:r>
      <w:r>
        <w:rPr>
          <w:rFonts w:ascii="David" w:cs="David" w:eastAsia="David" w:hAnsi="David"/>
          <w:sz w:val="20"/>
          <w:szCs w:val="20"/>
          <w:rtl w:val="false"/>
        </w:rPr>
        <w:t xml:space="preserve"> 400 (2023).</w:t>
      </w:r>
    </w:p>
  </w:footnote>
  <w:footnote w:id="58">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157.</w:t>
      </w:r>
    </w:p>
  </w:footnote>
  <w:footnote w:id="59">
    <w:p>
      <w:pPr>
        <w:bidi/>
        <w:spacing w:after="40" w:line="240"/>
        <w:jc w:val="both"/>
      </w:pPr>
      <w:r>
        <w:rPr>
          <w:rStyle w:val="FootnoteReference"/>
        </w:rPr>
        <w:footnoteRef/>
      </w:r>
      <w:r>
        <w:rPr>
          <w:rFonts w:ascii="David" w:cs="David" w:eastAsia="David" w:hAnsi="David"/>
          <w:sz w:val="20"/>
          <w:szCs w:val="20"/>
          <w:rtl/>
        </w:rPr>
        <w:t xml:space="preserve"> שם, בעמ' 158.</w:t>
      </w:r>
    </w:p>
  </w:footnote>
  <w:footnote w:id="60">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28, בעמ' 242.</w:t>
      </w:r>
    </w:p>
  </w:footnote>
  <w:footnote w:id="6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14, בעמ' 301.</w:t>
      </w:r>
    </w:p>
  </w:footnote>
  <w:footnote w:id="62">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158-156.</w:t>
      </w:r>
    </w:p>
  </w:footnote>
  <w:footnote w:id="63">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6-3.</w:t>
      </w:r>
    </w:p>
  </w:footnote>
  <w:footnote w:id="64">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9, 5-3.</w:t>
      </w:r>
    </w:p>
  </w:footnote>
  <w:footnote w:id="65">
    <w:p>
      <w:pPr>
        <w:bidi/>
        <w:spacing w:after="40" w:line="240"/>
        <w:jc w:val="both"/>
      </w:pPr>
      <w:r>
        <w:rPr>
          <w:rStyle w:val="FootnoteReference"/>
        </w:rPr>
        <w:footnoteRef/>
      </w:r>
      <w:r>
        <w:rPr>
          <w:rFonts w:ascii="David" w:cs="David" w:eastAsia="David" w:hAnsi="David"/>
          <w:sz w:val="20"/>
          <w:szCs w:val="20"/>
          <w:rtl/>
        </w:rPr>
        <w:t xml:space="preserve"> אלרן ואחרים, לעיל ה"ש 56, בעמ' 4-3.</w:t>
      </w:r>
    </w:p>
  </w:footnote>
  <w:footnote w:id="66">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28, בעמ' 226.</w:t>
      </w:r>
    </w:p>
  </w:footnote>
  <w:footnote w:id="67">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4.</w:t>
      </w:r>
    </w:p>
  </w:footnote>
  <w:footnote w:id="6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Braga, Weisburd &amp; Turchan‎</w:t>
      </w:r>
      <w:r>
        <w:rPr>
          <w:rFonts w:ascii="David" w:cs="David" w:eastAsia="David" w:hAnsi="David"/>
          <w:sz w:val="20"/>
          <w:szCs w:val="20"/>
          <w:rtl/>
        </w:rPr>
        <w:t xml:space="preserve">, לעיל ה"ש 22, בס' 1.4.1-1.4.2.</w:t>
      </w:r>
    </w:p>
  </w:footnote>
  <w:footnote w:id="69">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5.</w:t>
      </w:r>
    </w:p>
  </w:footnote>
  <w:footnote w:id="70">
    <w:p>
      <w:pPr>
        <w:bidi/>
        <w:spacing w:after="40" w:line="240"/>
        <w:jc w:val="both"/>
      </w:pPr>
      <w:r>
        <w:rPr>
          <w:rStyle w:val="FootnoteReference"/>
        </w:rPr>
        <w:footnoteRef/>
      </w:r>
      <w:r>
        <w:rPr>
          <w:rFonts w:ascii="David" w:cs="David" w:eastAsia="David" w:hAnsi="David"/>
          <w:sz w:val="20"/>
          <w:szCs w:val="20"/>
          <w:rtl/>
        </w:rPr>
        <w:t xml:space="preserve"> שם, בעמ' 6.</w:t>
      </w:r>
    </w:p>
  </w:footnote>
  <w:footnote w:id="71">
    <w:p>
      <w:pPr>
        <w:bidi/>
        <w:spacing w:after="40" w:line="240"/>
        <w:jc w:val="both"/>
      </w:pPr>
      <w:r>
        <w:rPr>
          <w:rStyle w:val="FootnoteReference"/>
        </w:rPr>
        <w:footnoteRef/>
      </w:r>
      <w:r>
        <w:rPr>
          <w:rFonts w:ascii="David" w:cs="David" w:eastAsia="David" w:hAnsi="David"/>
          <w:sz w:val="20"/>
          <w:szCs w:val="20"/>
          <w:rtl/>
        </w:rPr>
        <w:t xml:space="preserve"> שם, בעמ' 7.</w:t>
      </w:r>
    </w:p>
  </w:footnote>
  <w:footnote w:id="72">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2.</w:t>
      </w:r>
    </w:p>
  </w:footnote>
  <w:footnote w:id="73">
    <w:p>
      <w:pPr>
        <w:bidi/>
        <w:spacing w:after="40" w:line="240"/>
        <w:jc w:val="both"/>
      </w:pPr>
      <w:r>
        <w:rPr>
          <w:rStyle w:val="FootnoteReference"/>
        </w:rPr>
        <w:footnoteRef/>
      </w:r>
      <w:r>
        <w:rPr>
          <w:rFonts w:ascii="David" w:cs="David" w:eastAsia="David" w:hAnsi="David"/>
          <w:sz w:val="20"/>
          <w:szCs w:val="20"/>
          <w:rtl/>
        </w:rPr>
        <w:t xml:space="preserve"> שם, בעמ' 6.</w:t>
      </w:r>
    </w:p>
  </w:footnote>
  <w:footnote w:id="74">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4.</w:t>
      </w:r>
    </w:p>
  </w:footnote>
  <w:footnote w:id="75">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76">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2021</w:t>
      </w:r>
      <w:r>
        <w:rPr>
          <w:rFonts w:ascii="David" w:cs="David" w:eastAsia="David" w:hAnsi="David"/>
          <w:sz w:val="20"/>
          <w:szCs w:val="20"/>
          <w:rtl/>
        </w:rPr>
        <w:t xml:space="preserve">, לעיל ה"ש 2, בעמ' 4.</w:t>
      </w:r>
    </w:p>
  </w:footnote>
  <w:footnote w:id="77">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7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Natapoff‎</w:t>
      </w:r>
      <w:r>
        <w:rPr>
          <w:rFonts w:ascii="David" w:cs="David" w:eastAsia="David" w:hAnsi="David"/>
          <w:sz w:val="20"/>
          <w:szCs w:val="20"/>
          <w:rtl/>
        </w:rPr>
        <w:t xml:space="preserve">, לעיל ה"ש 26, בעמ' 1718-1719.</w:t>
      </w:r>
    </w:p>
  </w:footnote>
  <w:footnote w:id="79">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31.</w:t>
      </w:r>
    </w:p>
  </w:footnote>
  <w:footnote w:id="80">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6 (תרשים 1).</w:t>
      </w:r>
    </w:p>
  </w:footnote>
  <w:footnote w:id="81">
    <w:p>
      <w:pPr>
        <w:bidi/>
        <w:spacing w:after="40" w:line="240"/>
        <w:jc w:val="both"/>
      </w:pPr>
      <w:r>
        <w:rPr>
          <w:rStyle w:val="FootnoteReference"/>
        </w:rPr>
        <w:footnoteRef/>
      </w:r>
      <w:r>
        <w:rPr>
          <w:rFonts w:ascii="David" w:cs="David" w:eastAsia="David" w:hAnsi="David"/>
          <w:sz w:val="20"/>
          <w:szCs w:val="20"/>
          <w:rtl/>
        </w:rPr>
        <w:t xml:space="preserve"> בג"ץ 1504/20 </w:t>
      </w:r>
      <w:r>
        <w:rPr>
          <w:rFonts w:ascii="David" w:cs="David" w:eastAsia="David" w:hAnsi="David"/>
          <w:b/>
          <w:bCs/>
          <w:sz w:val="20"/>
          <w:szCs w:val="20"/>
          <w:rtl/>
        </w:rPr>
        <w:t xml:space="preserve">אבו אלקיעאן נ' פרקליט המדינה</w:t>
      </w:r>
      <w:r>
        <w:rPr>
          <w:rFonts w:ascii="David" w:cs="David" w:eastAsia="David" w:hAnsi="David"/>
          <w:sz w:val="20"/>
          <w:szCs w:val="20"/>
          <w:rtl/>
        </w:rPr>
        <w:t xml:space="preserve">, פס' 7 לפסק דינו של השופט עמית (נבו 20.10.2021).</w:t>
      </w:r>
    </w:p>
  </w:footnote>
  <w:footnote w:id="82">
    <w:p>
      <w:pPr>
        <w:bidi/>
        <w:spacing w:after="40" w:line="240"/>
        <w:jc w:val="both"/>
      </w:pPr>
      <w:r>
        <w:rPr>
          <w:rStyle w:val="FootnoteReference"/>
        </w:rPr>
        <w:footnoteRef/>
      </w:r>
      <w:r>
        <w:rPr>
          <w:rFonts w:ascii="David" w:cs="David" w:eastAsia="David" w:hAnsi="David"/>
          <w:sz w:val="20"/>
          <w:szCs w:val="20"/>
          <w:rtl w:val="false"/>
        </w:rPr>
        <w:t xml:space="preserve"> Badi Hasisi, ‎</w:t>
      </w:r>
      <w:r>
        <w:rPr>
          <w:rFonts w:ascii="David" w:cs="David" w:eastAsia="David" w:hAnsi="David"/>
          <w:i/>
          <w:iCs/>
          <w:sz w:val="20"/>
          <w:szCs w:val="20"/>
          <w:rtl w:val="false"/>
        </w:rPr>
        <w:t xml:space="preserve">Police, Politics, and Culture in a Deeply Divided Society‎</w:t>
      </w:r>
      <w:r>
        <w:rPr>
          <w:rFonts w:ascii="David" w:cs="David" w:eastAsia="David" w:hAnsi="David"/>
          <w:sz w:val="20"/>
          <w:szCs w:val="20"/>
          <w:rtl w:val="false"/>
        </w:rPr>
        <w:t xml:space="preserve">, 98 J. CRIM. L. &amp; CRIMINOLOGY 1119, 1119 (2008).‎</w:t>
      </w:r>
    </w:p>
  </w:footnote>
  <w:footnote w:id="83">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28, בעמ' 231-230.</w:t>
      </w:r>
    </w:p>
  </w:footnote>
  <w:footnote w:id="84">
    <w:p>
      <w:pPr>
        <w:bidi/>
        <w:spacing w:after="40" w:line="240"/>
        <w:jc w:val="both"/>
      </w:pPr>
      <w:r>
        <w:rPr>
          <w:rStyle w:val="FootnoteReference"/>
        </w:rPr>
        <w:footnoteRef/>
      </w:r>
      <w:r>
        <w:rPr>
          <w:rFonts w:ascii="David" w:cs="David" w:eastAsia="David" w:hAnsi="David"/>
          <w:sz w:val="20"/>
          <w:szCs w:val="20"/>
          <w:rtl/>
        </w:rPr>
        <w:t xml:space="preserve"> חסייסי וליטמנוביץ, לעיל ה"ש 27, בעמ' 124.</w:t>
      </w:r>
    </w:p>
  </w:footnote>
  <w:footnote w:id="85">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w:t>
      </w:r>
    </w:p>
  </w:footnote>
  <w:footnote w:id="86">
    <w:p>
      <w:pPr>
        <w:bidi/>
        <w:spacing w:after="40" w:line="240"/>
        <w:jc w:val="both"/>
      </w:pPr>
      <w:r>
        <w:rPr>
          <w:rStyle w:val="FootnoteReference"/>
        </w:rPr>
        <w:footnoteRef/>
      </w:r>
      <w:r>
        <w:rPr>
          <w:rFonts w:ascii="David" w:cs="David" w:eastAsia="David" w:hAnsi="David"/>
          <w:sz w:val="20"/>
          <w:szCs w:val="20"/>
          <w:rtl/>
        </w:rPr>
        <w:t xml:space="preserve"> שם, בעמ' 152.</w:t>
      </w:r>
    </w:p>
  </w:footnote>
  <w:footnote w:id="87">
    <w:p>
      <w:pPr>
        <w:bidi/>
        <w:spacing w:after="40" w:line="240"/>
        <w:jc w:val="both"/>
      </w:pPr>
      <w:r>
        <w:rPr>
          <w:rStyle w:val="FootnoteReference"/>
        </w:rPr>
        <w:footnoteRef/>
      </w:r>
      <w:r>
        <w:rPr>
          <w:rFonts w:ascii="David" w:cs="David" w:eastAsia="David" w:hAnsi="David"/>
          <w:sz w:val="20"/>
          <w:szCs w:val="20"/>
          <w:rtl/>
        </w:rPr>
        <w:t xml:space="preserve"> דיויד וייסבורד, באדי חסייסי, יעל לטמנוביץ, תומר כרמל ושני תשובה "מחקר הערכת תכנית אמו"ן: סל עבירות פע"ר" </w:t>
      </w:r>
      <w:r>
        <w:rPr>
          <w:rFonts w:ascii="David" w:cs="David" w:eastAsia="David" w:hAnsi="David"/>
          <w:b/>
          <w:bCs/>
          <w:sz w:val="20"/>
          <w:szCs w:val="20"/>
          <w:rtl/>
        </w:rPr>
        <w:t xml:space="preserve">העיקר במחקר</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val="false"/>
        </w:rPr>
        <w:t xml:space="preserve"> 167, 167 (2020).</w:t>
      </w:r>
    </w:p>
  </w:footnote>
  <w:footnote w:id="88">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89">
    <w:p>
      <w:pPr>
        <w:bidi/>
        <w:spacing w:after="40" w:line="240"/>
        <w:jc w:val="both"/>
      </w:pPr>
      <w:r>
        <w:rPr>
          <w:rStyle w:val="FootnoteReference"/>
        </w:rPr>
        <w:footnoteRef/>
      </w:r>
      <w:r>
        <w:rPr>
          <w:rFonts w:ascii="David" w:cs="David" w:eastAsia="David" w:hAnsi="David"/>
          <w:sz w:val="20"/>
          <w:szCs w:val="20"/>
          <w:rtl/>
        </w:rPr>
        <w:t xml:space="preserve"> שם, בעמ' 160-159.</w:t>
      </w:r>
    </w:p>
  </w:footnote>
  <w:footnote w:id="90">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28, בעמ' 239-238.</w:t>
      </w:r>
    </w:p>
  </w:footnote>
  <w:footnote w:id="91">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92">
    <w:p>
      <w:pPr>
        <w:bidi/>
        <w:spacing w:after="40" w:line="240"/>
        <w:jc w:val="both"/>
      </w:pPr>
      <w:r>
        <w:rPr>
          <w:rStyle w:val="FootnoteReference"/>
        </w:rPr>
        <w:footnoteRef/>
      </w:r>
      <w:r>
        <w:rPr>
          <w:rFonts w:ascii="David" w:cs="David" w:eastAsia="David" w:hAnsi="David"/>
          <w:sz w:val="20"/>
          <w:szCs w:val="20"/>
          <w:rtl/>
        </w:rPr>
        <w:t xml:space="preserve"> באדי חסייסי, יעל ליטמנוביץ, דיויד וייסבורד, שני תשובה וטאינה טרכטנברג "מחקר הערכת תכנית אמו"ן: עבירות אלימות" </w:t>
      </w:r>
      <w:r>
        <w:rPr>
          <w:rFonts w:ascii="David" w:cs="David" w:eastAsia="David" w:hAnsi="David"/>
          <w:b/>
          <w:bCs/>
          <w:sz w:val="20"/>
          <w:szCs w:val="20"/>
          <w:rtl/>
        </w:rPr>
        <w:t xml:space="preserve">העיקר במחקר</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val="false"/>
        </w:rPr>
        <w:t xml:space="preserve"> 247, 276 (2020).</w:t>
      </w:r>
    </w:p>
  </w:footnote>
  <w:footnote w:id="93">
    <w:p>
      <w:pPr>
        <w:bidi/>
        <w:spacing w:after="40" w:line="240"/>
        <w:jc w:val="both"/>
      </w:pPr>
      <w:r>
        <w:rPr>
          <w:rStyle w:val="FootnoteReference"/>
        </w:rPr>
        <w:footnoteRef/>
      </w:r>
      <w:r>
        <w:rPr>
          <w:rFonts w:ascii="David" w:cs="David" w:eastAsia="David" w:hAnsi="David"/>
          <w:sz w:val="20"/>
          <w:szCs w:val="20"/>
          <w:rtl/>
        </w:rPr>
        <w:t xml:space="preserve"> שם, בעמ' 277-276, 248.</w:t>
      </w:r>
    </w:p>
  </w:footnote>
  <w:footnote w:id="94">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28, בעמ' 233.</w:t>
      </w:r>
    </w:p>
  </w:footnote>
  <w:footnote w:id="95">
    <w:p>
      <w:pPr>
        <w:bidi/>
        <w:spacing w:after="40" w:line="240"/>
        <w:jc w:val="both"/>
      </w:pPr>
      <w:r>
        <w:rPr>
          <w:rStyle w:val="FootnoteReference"/>
        </w:rPr>
        <w:footnoteRef/>
      </w:r>
      <w:r>
        <w:rPr>
          <w:rFonts w:ascii="David" w:cs="David" w:eastAsia="David" w:hAnsi="David"/>
          <w:sz w:val="20"/>
          <w:szCs w:val="20"/>
          <w:rtl/>
        </w:rPr>
        <w:t xml:space="preserve"> שם, בעמ' 238.</w:t>
      </w:r>
    </w:p>
  </w:footnote>
  <w:footnote w:id="96">
    <w:p>
      <w:pPr>
        <w:bidi/>
        <w:spacing w:after="40" w:line="240"/>
        <w:jc w:val="both"/>
      </w:pPr>
      <w:r>
        <w:rPr>
          <w:rStyle w:val="FootnoteReference"/>
        </w:rPr>
        <w:footnoteRef/>
      </w:r>
      <w:r>
        <w:rPr>
          <w:rFonts w:ascii="David" w:cs="David" w:eastAsia="David" w:hAnsi="David"/>
          <w:sz w:val="20"/>
          <w:szCs w:val="20"/>
          <w:rtl/>
        </w:rPr>
        <w:t xml:space="preserve"> שם, בעמ' 240, 236.</w:t>
      </w:r>
    </w:p>
  </w:footnote>
  <w:footnote w:id="97">
    <w:p>
      <w:pPr>
        <w:bidi/>
        <w:spacing w:after="40" w:line="240"/>
        <w:jc w:val="both"/>
      </w:pPr>
      <w:r>
        <w:rPr>
          <w:rStyle w:val="FootnoteReference"/>
        </w:rPr>
        <w:footnoteRef/>
      </w:r>
      <w:r>
        <w:rPr>
          <w:rFonts w:ascii="David" w:cs="David" w:eastAsia="David" w:hAnsi="David"/>
          <w:sz w:val="20"/>
          <w:szCs w:val="20"/>
          <w:rtl/>
        </w:rPr>
        <w:t xml:space="preserve"> שם, בעמ' 239.</w:t>
      </w:r>
    </w:p>
  </w:footnote>
  <w:footnote w:id="98">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152.</w:t>
      </w:r>
    </w:p>
  </w:footnote>
  <w:footnote w:id="99">
    <w:p>
      <w:pPr>
        <w:bidi/>
        <w:spacing w:after="40" w:line="240"/>
        <w:jc w:val="both"/>
      </w:pPr>
      <w:r>
        <w:rPr>
          <w:rStyle w:val="FootnoteReference"/>
        </w:rPr>
        <w:footnoteRef/>
      </w:r>
      <w:r>
        <w:rPr>
          <w:rFonts w:ascii="David" w:cs="David" w:eastAsia="David" w:hAnsi="David"/>
          <w:sz w:val="20"/>
          <w:szCs w:val="20"/>
          <w:rtl/>
        </w:rPr>
        <w:t xml:space="preserve"> שם, בעמ' 163.</w:t>
      </w:r>
    </w:p>
  </w:footnote>
  <w:footnote w:id="100">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28, בעמ' 242.</w:t>
      </w:r>
    </w:p>
  </w:footnote>
  <w:footnote w:id="101">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02">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28, בעמ' 239-238.</w:t>
      </w:r>
    </w:p>
  </w:footnote>
  <w:footnote w:id="103">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04">
    <w:p>
      <w:pPr>
        <w:bidi/>
        <w:spacing w:after="40" w:line="240"/>
        <w:jc w:val="both"/>
      </w:pPr>
      <w:r>
        <w:rPr>
          <w:rStyle w:val="FootnoteReference"/>
        </w:rPr>
        <w:footnoteRef/>
      </w:r>
      <w:r>
        <w:rPr>
          <w:rFonts w:ascii="David" w:cs="David" w:eastAsia="David" w:hAnsi="David"/>
          <w:sz w:val="20"/>
          <w:szCs w:val="20"/>
          <w:rtl/>
        </w:rPr>
        <w:t xml:space="preserve"> באדי חסייסי, טל יונתן-זמיר, דיויד וייסבורד, יעל ליטמנוביץ, טאינה טרכטנברג ועדי דוידוביץ' "ניתוח עמדות הציבור כלפי המשטרה בחברה הישראלית: ההשפעה של הוגנות ההליכים, מאפייני הפרט ומאפייני התחנה" </w:t>
      </w:r>
      <w:r>
        <w:rPr>
          <w:rFonts w:ascii="David" w:cs="David" w:eastAsia="David" w:hAnsi="David"/>
          <w:b/>
          <w:bCs/>
          <w:sz w:val="20"/>
          <w:szCs w:val="20"/>
          <w:rtl/>
        </w:rPr>
        <w:t xml:space="preserve">העיקר במחקר</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val="false"/>
        </w:rPr>
        <w:t xml:space="preserve"> 283, 305, 302 (2020).</w:t>
      </w:r>
    </w:p>
  </w:footnote>
  <w:footnote w:id="105">
    <w:p>
      <w:pPr>
        <w:bidi/>
        <w:spacing w:after="40" w:line="240"/>
        <w:jc w:val="both"/>
      </w:pPr>
      <w:r>
        <w:rPr>
          <w:rStyle w:val="FootnoteReference"/>
        </w:rPr>
        <w:footnoteRef/>
      </w:r>
      <w:r>
        <w:rPr>
          <w:rFonts w:ascii="David" w:cs="David" w:eastAsia="David" w:hAnsi="David"/>
          <w:sz w:val="20"/>
          <w:szCs w:val="20"/>
          <w:rtl/>
        </w:rPr>
        <w:t xml:space="preserve"> שם, בעמ' 304, 302.</w:t>
      </w:r>
    </w:p>
  </w:footnote>
  <w:footnote w:id="106">
    <w:p>
      <w:pPr>
        <w:bidi/>
        <w:spacing w:after="40" w:line="240"/>
        <w:jc w:val="both"/>
      </w:pPr>
      <w:r>
        <w:rPr>
          <w:rStyle w:val="FootnoteReference"/>
        </w:rPr>
        <w:footnoteRef/>
      </w:r>
      <w:r>
        <w:rPr>
          <w:rFonts w:ascii="David" w:cs="David" w:eastAsia="David" w:hAnsi="David"/>
          <w:sz w:val="20"/>
          <w:szCs w:val="20"/>
          <w:rtl/>
        </w:rPr>
        <w:t xml:space="preserve"> חסייסי ואחרים "עבירות אלימות", לעיל ה"ש 92, בעמ' 279; וייסבורד ואחרים "סל עבירות פע"ר", לעיל ה"ש 87, בעמ' 167.</w:t>
      </w:r>
    </w:p>
  </w:footnote>
  <w:footnote w:id="107">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28, בעמ' 243.</w:t>
      </w:r>
    </w:p>
  </w:footnote>
  <w:footnote w:id="108">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158-156.</w:t>
      </w:r>
    </w:p>
  </w:footnote>
  <w:footnote w:id="109">
    <w:p>
      <w:pPr>
        <w:bidi/>
        <w:spacing w:after="40" w:line="240"/>
        <w:jc w:val="both"/>
      </w:pPr>
      <w:r>
        <w:rPr>
          <w:rStyle w:val="FootnoteReference"/>
        </w:rPr>
        <w:footnoteRef/>
      </w:r>
      <w:r>
        <w:rPr>
          <w:rFonts w:ascii="David" w:cs="David" w:eastAsia="David" w:hAnsi="David"/>
          <w:sz w:val="20"/>
          <w:szCs w:val="20"/>
          <w:rtl w:val="false"/>
        </w:rPr>
        <w:t xml:space="preserve"> Home Office, Police and Criminal Evidence Act 1984 Code A: Revised Code of Practice for the Exercise by Police Officers of Statutory Powers of Stop and Search, para. 1.1 (2023).‎</w:t>
      </w:r>
    </w:p>
  </w:footnote>
  <w:footnote w:id="110">
    <w:p>
      <w:pPr>
        <w:bidi/>
        <w:spacing w:after="40" w:line="240"/>
        <w:jc w:val="both"/>
      </w:pPr>
      <w:r>
        <w:rPr>
          <w:rStyle w:val="FootnoteReference"/>
        </w:rPr>
        <w:footnoteRef/>
      </w:r>
      <w:r>
        <w:rPr>
          <w:rFonts w:ascii="David" w:cs="David" w:eastAsia="David" w:hAnsi="David"/>
          <w:sz w:val="20"/>
          <w:szCs w:val="20"/>
          <w:rtl w:val="false"/>
        </w:rPr>
        <w:t xml:space="preserve"> U.S. CONST. amend. IV.‎</w:t>
      </w:r>
    </w:p>
  </w:footnote>
  <w:footnote w:id="11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Terry v. Ohio‎</w:t>
      </w:r>
      <w:r>
        <w:rPr>
          <w:rFonts w:ascii="David" w:cs="David" w:eastAsia="David" w:hAnsi="David"/>
          <w:sz w:val="20"/>
          <w:szCs w:val="20"/>
          <w:rtl w:val="false"/>
        </w:rPr>
        <w:t xml:space="preserve">, 392 U.S. 1, 21, 27 (1968).‎</w:t>
      </w:r>
    </w:p>
  </w:footnote>
  <w:footnote w:id="11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Whren v. United States‎</w:t>
      </w:r>
      <w:r>
        <w:rPr>
          <w:rFonts w:ascii="David" w:cs="David" w:eastAsia="David" w:hAnsi="David"/>
          <w:sz w:val="20"/>
          <w:szCs w:val="20"/>
          <w:rtl w:val="false"/>
        </w:rPr>
        <w:t xml:space="preserve">, 517 U.S. 806, 813 (1996).‎</w:t>
      </w:r>
    </w:p>
  </w:footnote>
  <w:footnote w:id="11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Illinois v. Wardlow‎</w:t>
      </w:r>
      <w:r>
        <w:rPr>
          <w:rFonts w:ascii="David" w:cs="David" w:eastAsia="David" w:hAnsi="David"/>
          <w:sz w:val="20"/>
          <w:szCs w:val="20"/>
          <w:rtl w:val="false"/>
        </w:rPr>
        <w:t xml:space="preserve">, 528 U.S. 119, 124 (2000).‎</w:t>
      </w:r>
    </w:p>
  </w:footnote>
  <w:footnote w:id="11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United States v. Armstrong‎</w:t>
      </w:r>
      <w:r>
        <w:rPr>
          <w:rFonts w:ascii="David" w:cs="David" w:eastAsia="David" w:hAnsi="David"/>
          <w:sz w:val="20"/>
          <w:szCs w:val="20"/>
          <w:rtl w:val="false"/>
        </w:rPr>
        <w:t xml:space="preserve">, 517 U.S. 456, 465 (1996).‎</w:t>
      </w:r>
    </w:p>
  </w:footnote>
  <w:footnote w:id="115">
    <w:p>
      <w:pPr>
        <w:bidi/>
        <w:spacing w:after="40" w:line="240"/>
        <w:jc w:val="both"/>
      </w:pPr>
      <w:r>
        <w:rPr>
          <w:rStyle w:val="FootnoteReference"/>
        </w:rPr>
        <w:footnoteRef/>
      </w:r>
      <w:r>
        <w:rPr>
          <w:rFonts w:ascii="David" w:cs="David" w:eastAsia="David" w:hAnsi="David"/>
          <w:sz w:val="20"/>
          <w:szCs w:val="20"/>
          <w:rtl w:val="false"/>
        </w:rPr>
        <w:t xml:space="preserve"> U.S. Department of Justice, Civil Rights Division, Investigation of the Ferguson Police Department 2, 4 (2015).‎</w:t>
      </w:r>
    </w:p>
  </w:footnote>
  <w:footnote w:id="116">
    <w:p>
      <w:pPr>
        <w:bidi/>
        <w:spacing w:after="40" w:line="240"/>
        <w:jc w:val="both"/>
      </w:pPr>
      <w:r>
        <w:rPr>
          <w:rStyle w:val="FootnoteReference"/>
        </w:rPr>
        <w:footnoteRef/>
      </w:r>
      <w:r>
        <w:rPr>
          <w:rFonts w:ascii="David" w:cs="David" w:eastAsia="David" w:hAnsi="David"/>
          <w:sz w:val="20"/>
          <w:szCs w:val="20"/>
          <w:rtl w:val="false"/>
        </w:rPr>
        <w:t xml:space="preserve"> 42 U.S.C. § 1983; ‎</w:t>
      </w:r>
      <w:r>
        <w:rPr>
          <w:rFonts w:ascii="David" w:cs="David" w:eastAsia="David" w:hAnsi="David"/>
          <w:i/>
          <w:iCs/>
          <w:sz w:val="20"/>
          <w:szCs w:val="20"/>
          <w:rtl w:val="false"/>
        </w:rPr>
        <w:t xml:space="preserve">Monell v. Department of Social Services‎</w:t>
      </w:r>
      <w:r>
        <w:rPr>
          <w:rFonts w:ascii="David" w:cs="David" w:eastAsia="David" w:hAnsi="David"/>
          <w:sz w:val="20"/>
          <w:szCs w:val="20"/>
          <w:rtl w:val="false"/>
        </w:rPr>
        <w:t xml:space="preserve">, 436 U.S. 658, 694 (1978).‎</w:t>
      </w:r>
    </w:p>
  </w:footnote>
  <w:footnote w:id="117">
    <w:p>
      <w:pPr>
        <w:bidi/>
        <w:spacing w:after="40" w:line="240"/>
        <w:jc w:val="both"/>
      </w:pPr>
      <w:r>
        <w:rPr>
          <w:rStyle w:val="FootnoteReference"/>
        </w:rPr>
        <w:footnoteRef/>
      </w:r>
      <w:r>
        <w:rPr>
          <w:rFonts w:ascii="David" w:cs="David" w:eastAsia="David" w:hAnsi="David"/>
          <w:sz w:val="20"/>
          <w:szCs w:val="20"/>
          <w:rtl w:val="false"/>
        </w:rPr>
        <w:t xml:space="preserve"> 34 U.S.C. § 12601.‎</w:t>
      </w:r>
    </w:p>
  </w:footnote>
  <w:footnote w:id="118">
    <w:p>
      <w:pPr>
        <w:bidi/>
        <w:spacing w:after="40" w:line="240"/>
        <w:jc w:val="both"/>
      </w:pPr>
      <w:r>
        <w:rPr>
          <w:rStyle w:val="FootnoteReference"/>
        </w:rPr>
        <w:footnoteRef/>
      </w:r>
      <w:r>
        <w:rPr>
          <w:rFonts w:ascii="David" w:cs="David" w:eastAsia="David" w:hAnsi="David"/>
          <w:sz w:val="20"/>
          <w:szCs w:val="20"/>
          <w:rtl w:val="false"/>
        </w:rPr>
        <w:t xml:space="preserve"> Statement of Interest of the United States at 5, ‎</w:t>
      </w:r>
      <w:r>
        <w:rPr>
          <w:rFonts w:ascii="David" w:cs="David" w:eastAsia="David" w:hAnsi="David"/>
          <w:i/>
          <w:iCs/>
          <w:sz w:val="20"/>
          <w:szCs w:val="20"/>
          <w:rtl w:val="false"/>
        </w:rPr>
        <w:t xml:space="preserve">Floyd v. City of New York‎</w:t>
      </w:r>
      <w:r>
        <w:rPr>
          <w:rFonts w:ascii="David" w:cs="David" w:eastAsia="David" w:hAnsi="David"/>
          <w:sz w:val="20"/>
          <w:szCs w:val="20"/>
          <w:rtl w:val="false"/>
        </w:rPr>
        <w:t xml:space="preserve">, No. 08-cv-01034 (S.D.N.Y. June 12, 2013).‎</w:t>
      </w:r>
    </w:p>
  </w:footnote>
  <w:footnote w:id="11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DeShaney v. Winnebago County Department of Social Services‎</w:t>
      </w:r>
      <w:r>
        <w:rPr>
          <w:rFonts w:ascii="David" w:cs="David" w:eastAsia="David" w:hAnsi="David"/>
          <w:sz w:val="20"/>
          <w:szCs w:val="20"/>
          <w:rtl w:val="false"/>
        </w:rPr>
        <w:t xml:space="preserve">, 489 U.S. 189, 196 (1989).‎</w:t>
      </w:r>
    </w:p>
  </w:footnote>
  <w:footnote w:id="12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Town of Castle Rock v. Gonzales‎</w:t>
      </w:r>
      <w:r>
        <w:rPr>
          <w:rFonts w:ascii="David" w:cs="David" w:eastAsia="David" w:hAnsi="David"/>
          <w:sz w:val="20"/>
          <w:szCs w:val="20"/>
          <w:rtl w:val="false"/>
        </w:rPr>
        <w:t xml:space="preserve">, 545 U.S. 748, 768 (2005).‎</w:t>
      </w:r>
    </w:p>
  </w:footnote>
  <w:footnote w:id="121">
    <w:p>
      <w:pPr>
        <w:bidi/>
        <w:spacing w:after="40" w:line="240"/>
        <w:jc w:val="both"/>
      </w:pPr>
      <w:r>
        <w:rPr>
          <w:rStyle w:val="FootnoteReference"/>
        </w:rPr>
        <w:footnoteRef/>
      </w:r>
      <w:r>
        <w:rPr>
          <w:rFonts w:ascii="David" w:cs="David" w:eastAsia="David" w:hAnsi="David"/>
          <w:sz w:val="20"/>
          <w:szCs w:val="20"/>
          <w:rtl/>
        </w:rPr>
        <w:t xml:space="preserve"> בעז סגל "נזיקין של רשויות במבט השוואתי: הפיצוי הנזיקי – מטרה או אמצעי?" </w:t>
      </w:r>
      <w:r>
        <w:rPr>
          <w:rFonts w:ascii="David" w:cs="David" w:eastAsia="David" w:hAnsi="David"/>
          <w:b/>
          <w:bCs/>
          <w:sz w:val="20"/>
          <w:szCs w:val="20"/>
          <w:rtl/>
        </w:rPr>
        <w:t xml:space="preserve">הפרקליט</w:t>
      </w:r>
      <w:r>
        <w:rPr>
          <w:rFonts w:ascii="David" w:cs="David" w:eastAsia="David" w:hAnsi="David"/>
          <w:sz w:val="20"/>
          <w:szCs w:val="20"/>
          <w:rtl/>
        </w:rPr>
        <w:t xml:space="preserve"> נו 111, 155 (התשפ"ד).</w:t>
      </w:r>
    </w:p>
  </w:footnote>
  <w:footnote w:id="122">
    <w:p>
      <w:pPr>
        <w:bidi/>
        <w:spacing w:after="40" w:line="240"/>
        <w:jc w:val="both"/>
      </w:pPr>
      <w:r>
        <w:rPr>
          <w:rStyle w:val="FootnoteReference"/>
        </w:rPr>
        <w:footnoteRef/>
      </w:r>
      <w:r>
        <w:rPr>
          <w:rFonts w:ascii="David" w:cs="David" w:eastAsia="David" w:hAnsi="David"/>
          <w:sz w:val="20"/>
          <w:szCs w:val="20"/>
          <w:rtl w:val="false"/>
        </w:rPr>
        <w:t xml:space="preserve"> President's Task Force on 21st Century Policing, Final Report 1 (2015).‎</w:t>
      </w:r>
    </w:p>
  </w:footnote>
  <w:footnote w:id="12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Scott‎</w:t>
      </w:r>
      <w:r>
        <w:rPr>
          <w:rFonts w:ascii="David" w:cs="David" w:eastAsia="David" w:hAnsi="David"/>
          <w:sz w:val="20"/>
          <w:szCs w:val="20"/>
          <w:rtl/>
        </w:rPr>
        <w:t xml:space="preserve">, לעיל ה"ש 23, בעמ' </w:t>
      </w:r>
      <w:r>
        <w:rPr>
          <w:rFonts w:ascii="David" w:cs="David" w:eastAsia="David" w:hAnsi="David"/>
          <w:sz w:val="20"/>
          <w:szCs w:val="20"/>
          <w:rtl w:val="false"/>
        </w:rPr>
        <w:t xml:space="preserve">8; National Network for Safe Communities, Group Violence Intervention: An Implementation Guide 5 (2015).‎</w:t>
      </w:r>
    </w:p>
  </w:footnote>
  <w:footnote w:id="12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Police and Criminal Evidence Act 1984‎</w:t>
      </w:r>
      <w:r>
        <w:rPr>
          <w:rFonts w:ascii="David" w:cs="David" w:eastAsia="David" w:hAnsi="David"/>
          <w:sz w:val="20"/>
          <w:szCs w:val="20"/>
          <w:rtl w:val="false"/>
        </w:rPr>
        <w:t xml:space="preserve">, c. 60, s. 1 (UK).‎</w:t>
      </w:r>
    </w:p>
  </w:footnote>
  <w:footnote w:id="12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Criminal Justice and Public Order Act 1994‎</w:t>
      </w:r>
      <w:r>
        <w:rPr>
          <w:rFonts w:ascii="David" w:cs="David" w:eastAsia="David" w:hAnsi="David"/>
          <w:sz w:val="20"/>
          <w:szCs w:val="20"/>
          <w:rtl w:val="false"/>
        </w:rPr>
        <w:t xml:space="preserve">, c. 33, s. 60 (UK).‎</w:t>
      </w:r>
    </w:p>
  </w:footnote>
  <w:footnote w:id="12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109, בפס' </w:t>
      </w:r>
      <w:r>
        <w:rPr>
          <w:rFonts w:ascii="David" w:cs="David" w:eastAsia="David" w:hAnsi="David"/>
          <w:sz w:val="20"/>
          <w:szCs w:val="20"/>
          <w:rtl w:val="false"/>
        </w:rPr>
        <w:t xml:space="preserve">2.2B.‎</w:t>
      </w:r>
    </w:p>
  </w:footnote>
  <w:footnote w:id="12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Equality Act 2010‎</w:t>
      </w:r>
      <w:r>
        <w:rPr>
          <w:rFonts w:ascii="David" w:cs="David" w:eastAsia="David" w:hAnsi="David"/>
          <w:sz w:val="20"/>
          <w:szCs w:val="20"/>
          <w:rtl w:val="false"/>
        </w:rPr>
        <w:t xml:space="preserve">, c. 15, s. 149 (UK).‎</w:t>
      </w:r>
    </w:p>
  </w:footnote>
  <w:footnote w:id="12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109, בפס' 5.1-5.4.</w:t>
      </w:r>
    </w:p>
  </w:footnote>
  <w:footnote w:id="12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Police and Criminal Evidence Act 1984‎</w:t>
      </w:r>
      <w:r>
        <w:rPr>
          <w:rFonts w:ascii="David" w:cs="David" w:eastAsia="David" w:hAnsi="David"/>
          <w:sz w:val="20"/>
          <w:szCs w:val="20"/>
          <w:rtl w:val="false"/>
        </w:rPr>
        <w:t xml:space="preserve">, c. 60, ss. 2-3 (UK).‎</w:t>
      </w:r>
    </w:p>
  </w:footnote>
  <w:footnote w:id="130">
    <w:p>
      <w:pPr>
        <w:bidi/>
        <w:spacing w:after="40" w:line="240"/>
        <w:jc w:val="both"/>
      </w:pPr>
      <w:r>
        <w:rPr>
          <w:rStyle w:val="FootnoteReference"/>
        </w:rPr>
        <w:footnoteRef/>
      </w:r>
      <w:r>
        <w:rPr>
          <w:rFonts w:ascii="David" w:cs="David" w:eastAsia="David" w:hAnsi="David"/>
          <w:sz w:val="20"/>
          <w:szCs w:val="20"/>
          <w:rtl w:val="false"/>
        </w:rPr>
        <w:t xml:space="preserve"> The Stephen Lawrence Inquiry: Report of an Inquiry by Sir William Macpherson of Cluny, Cm 4262-I, para. 6.34 (1999).‎</w:t>
      </w:r>
    </w:p>
  </w:footnote>
  <w:footnote w:id="131">
    <w:p>
      <w:pPr>
        <w:bidi/>
        <w:spacing w:after="40" w:line="240"/>
        <w:jc w:val="both"/>
      </w:pPr>
      <w:r>
        <w:rPr>
          <w:rStyle w:val="FootnoteReference"/>
        </w:rPr>
        <w:footnoteRef/>
      </w:r>
      <w:r>
        <w:rPr>
          <w:rFonts w:ascii="David" w:cs="David" w:eastAsia="David" w:hAnsi="David"/>
          <w:sz w:val="20"/>
          <w:szCs w:val="20"/>
          <w:rtl/>
        </w:rPr>
        <w:t xml:space="preserve"> שם, בהמלצה 61.</w:t>
      </w:r>
    </w:p>
  </w:footnote>
  <w:footnote w:id="13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 (Roberts) v. Commissioner of Police of the Metropolis‎</w:t>
      </w:r>
      <w:r>
        <w:rPr>
          <w:rFonts w:ascii="David" w:cs="David" w:eastAsia="David" w:hAnsi="David"/>
          <w:sz w:val="20"/>
          <w:szCs w:val="20"/>
          <w:rtl w:val="false"/>
        </w:rPr>
        <w:t xml:space="preserve"> [2015] UKSC 79, [41-45].‎</w:t>
      </w:r>
    </w:p>
  </w:footnote>
  <w:footnote w:id="133">
    <w:p>
      <w:pPr>
        <w:bidi/>
        <w:spacing w:after="40" w:line="240"/>
        <w:jc w:val="both"/>
      </w:pPr>
      <w:r>
        <w:rPr>
          <w:rStyle w:val="FootnoteReference"/>
        </w:rPr>
        <w:footnoteRef/>
      </w:r>
      <w:r>
        <w:rPr>
          <w:rFonts w:ascii="David" w:cs="David" w:eastAsia="David" w:hAnsi="David"/>
          <w:sz w:val="20"/>
          <w:szCs w:val="20"/>
          <w:rtl w:val="false"/>
        </w:rPr>
        <w:t xml:space="preserve"> HM Inspectorate of Constabulary and Fire &amp; Rescue Services, Disproportionate Use of Police Powers: A Spotlight on Stop and Search and the Use of Force 5-6 (2021).‎</w:t>
      </w:r>
    </w:p>
  </w:footnote>
  <w:footnote w:id="134">
    <w:p>
      <w:pPr>
        <w:bidi/>
        <w:spacing w:after="40" w:line="240"/>
        <w:jc w:val="both"/>
      </w:pPr>
      <w:r>
        <w:rPr>
          <w:rStyle w:val="FootnoteReference"/>
        </w:rPr>
        <w:footnoteRef/>
      </w:r>
      <w:r>
        <w:rPr>
          <w:rFonts w:ascii="David" w:cs="David" w:eastAsia="David" w:hAnsi="David"/>
          <w:sz w:val="20"/>
          <w:szCs w:val="20"/>
          <w:rtl w:val="false"/>
        </w:rPr>
        <w:t xml:space="preserve"> Paul Dawson, Anthony DuGuay, Ryan Flanagan &amp; Abigail McNeill, Investigating Disproportionality in Stop and Search in London 8 (2026).‎</w:t>
      </w:r>
    </w:p>
  </w:footnote>
  <w:footnote w:id="135">
    <w:p>
      <w:pPr>
        <w:bidi/>
        <w:spacing w:after="40" w:line="240"/>
        <w:jc w:val="both"/>
      </w:pPr>
      <w:r>
        <w:rPr>
          <w:rStyle w:val="FootnoteReference"/>
        </w:rPr>
        <w:footnoteRef/>
      </w:r>
      <w:r>
        <w:rPr>
          <w:rFonts w:ascii="David" w:cs="David" w:eastAsia="David" w:hAnsi="David"/>
          <w:sz w:val="20"/>
          <w:szCs w:val="20"/>
          <w:rtl w:val="false"/>
        </w:rPr>
        <w:t xml:space="preserve"> David Lammy, The Lammy Review: An Independent Review into the Treatment of, and Outcomes for, Black, Asian and Minority Ethnic Individuals in the Criminal Justice System 14 (2017).‎</w:t>
      </w:r>
    </w:p>
  </w:footnote>
  <w:footnote w:id="13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Michael v. Chief Constable of South Wales Police‎</w:t>
      </w:r>
      <w:r>
        <w:rPr>
          <w:rFonts w:ascii="David" w:cs="David" w:eastAsia="David" w:hAnsi="David"/>
          <w:sz w:val="20"/>
          <w:szCs w:val="20"/>
          <w:rtl w:val="false"/>
        </w:rPr>
        <w:t xml:space="preserve"> [2015] UKSC 2, [115].‎</w:t>
      </w:r>
    </w:p>
  </w:footnote>
  <w:footnote w:id="13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Commissioner of Police of the Metropolis v. DSD‎</w:t>
      </w:r>
      <w:r>
        <w:rPr>
          <w:rFonts w:ascii="David" w:cs="David" w:eastAsia="David" w:hAnsi="David"/>
          <w:sz w:val="20"/>
          <w:szCs w:val="20"/>
          <w:rtl w:val="false"/>
        </w:rPr>
        <w:t xml:space="preserve"> [2018] UKSC 11, [29].‎</w:t>
      </w:r>
    </w:p>
  </w:footnote>
  <w:footnote w:id="138">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13, בפס' 41 לפסק דינה של הנשיאה חיות.</w:t>
      </w:r>
    </w:p>
  </w:footnote>
  <w:footnote w:id="13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HMICFRS‎</w:t>
      </w:r>
      <w:r>
        <w:rPr>
          <w:rFonts w:ascii="David" w:cs="David" w:eastAsia="David" w:hAnsi="David"/>
          <w:sz w:val="20"/>
          <w:szCs w:val="20"/>
          <w:rtl/>
        </w:rPr>
        <w:t xml:space="preserve">, לעיל ה"ש 133, בעמ' 6.</w:t>
      </w:r>
    </w:p>
  </w:footnote>
  <w:footnote w:id="140">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41">
    <w:p>
      <w:pPr>
        <w:bidi/>
        <w:spacing w:after="40" w:line="240"/>
        <w:jc w:val="both"/>
      </w:pPr>
      <w:r>
        <w:rPr>
          <w:rStyle w:val="FootnoteReference"/>
        </w:rPr>
        <w:footnoteRef/>
      </w:r>
      <w:r>
        <w:rPr>
          <w:rFonts w:ascii="David" w:cs="David" w:eastAsia="David" w:hAnsi="David"/>
          <w:sz w:val="20"/>
          <w:szCs w:val="20"/>
          <w:rtl/>
        </w:rPr>
        <w:t xml:space="preserve"> סגל, לעיל ה"ש 121, בעמ' 156.</w:t>
      </w:r>
    </w:p>
  </w:footnote>
  <w:footnote w:id="142">
    <w:p>
      <w:pPr>
        <w:bidi/>
        <w:spacing w:after="40" w:line="240"/>
        <w:jc w:val="both"/>
      </w:pPr>
      <w:r>
        <w:rPr>
          <w:rStyle w:val="FootnoteReference"/>
        </w:rPr>
        <w:footnoteRef/>
      </w:r>
      <w:r>
        <w:rPr>
          <w:rFonts w:ascii="David" w:cs="David" w:eastAsia="David" w:hAnsi="David"/>
          <w:sz w:val="20"/>
          <w:szCs w:val="20"/>
          <w:rtl/>
        </w:rPr>
        <w:t xml:space="preserve"> ע"א 3580/06 </w:t>
      </w:r>
      <w:r>
        <w:rPr>
          <w:rFonts w:ascii="David" w:cs="David" w:eastAsia="David" w:hAnsi="David"/>
          <w:b/>
          <w:bCs/>
          <w:sz w:val="20"/>
          <w:szCs w:val="20"/>
          <w:rtl/>
        </w:rPr>
        <w:t xml:space="preserve">עזבון יוסף נ' מדינת ישראל</w:t>
      </w:r>
      <w:r>
        <w:rPr>
          <w:rFonts w:ascii="David" w:cs="David" w:eastAsia="David" w:hAnsi="David"/>
          <w:sz w:val="20"/>
          <w:szCs w:val="20"/>
          <w:rtl/>
        </w:rPr>
        <w:t xml:space="preserve">, פס' 89 (נבו 21.3.2011).</w:t>
      </w:r>
    </w:p>
  </w:footnote>
  <w:footnote w:id="14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Hinkle et al.‎</w:t>
      </w:r>
      <w:r>
        <w:rPr>
          <w:rFonts w:ascii="David" w:cs="David" w:eastAsia="David" w:hAnsi="David"/>
          <w:sz w:val="20"/>
          <w:szCs w:val="20"/>
          <w:rtl/>
        </w:rPr>
        <w:t xml:space="preserve">, לעיל ה"ש 18, בס' 5.1, 5.5, 6.1.</w:t>
      </w:r>
    </w:p>
  </w:footnote>
  <w:footnote w:id="14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Braga, Papachristos &amp; Hureau‎</w:t>
      </w:r>
      <w:r>
        <w:rPr>
          <w:rFonts w:ascii="David" w:cs="David" w:eastAsia="David" w:hAnsi="David"/>
          <w:sz w:val="20"/>
          <w:szCs w:val="20"/>
          <w:rtl/>
        </w:rPr>
        <w:t xml:space="preserve">, לעיל ה"ש 20, בעמ' </w:t>
      </w:r>
      <w:r>
        <w:rPr>
          <w:rFonts w:ascii="David" w:cs="David" w:eastAsia="David" w:hAnsi="David"/>
          <w:sz w:val="20"/>
          <w:szCs w:val="20"/>
          <w:rtl w:val="false"/>
        </w:rPr>
        <w:t xml:space="preserve">24-26; Braga, Weisburd &amp; Turchan‎</w:t>
      </w:r>
      <w:r>
        <w:rPr>
          <w:rFonts w:ascii="David" w:cs="David" w:eastAsia="David" w:hAnsi="David"/>
          <w:sz w:val="20"/>
          <w:szCs w:val="20"/>
          <w:rtl/>
        </w:rPr>
        <w:t xml:space="preserve">, לעיל ה"ש 22, בס' 2.6, 7.1.</w:t>
      </w:r>
    </w:p>
  </w:footnote>
  <w:footnote w:id="145">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146">
    <w:p>
      <w:pPr>
        <w:bidi/>
        <w:spacing w:after="40" w:line="240"/>
        <w:jc w:val="both"/>
      </w:pPr>
      <w:r>
        <w:rPr>
          <w:rStyle w:val="FootnoteReference"/>
        </w:rPr>
        <w:footnoteRef/>
      </w:r>
      <w:r>
        <w:rPr>
          <w:rFonts w:ascii="David" w:cs="David" w:eastAsia="David" w:hAnsi="David"/>
          <w:sz w:val="20"/>
          <w:szCs w:val="20"/>
          <w:rtl/>
        </w:rPr>
        <w:t xml:space="preserve"> חסייסי ואחרים "עבירות אלימות", לעיל ה"ש 92, בעמ' 248; ליטמנוביץ ואחרים, לעיל ה"ש 28, בעמ' 240.</w:t>
      </w:r>
    </w:p>
  </w:footnote>
  <w:footnote w:id="14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14, בעמ' 118, 301.</w:t>
      </w:r>
    </w:p>
  </w:footnote>
  <w:footnote w:id="148">
    <w:p>
      <w:pPr>
        <w:bidi/>
        <w:spacing w:after="40" w:line="240"/>
        <w:jc w:val="both"/>
      </w:pPr>
      <w:r>
        <w:rPr>
          <w:rStyle w:val="FootnoteReference"/>
        </w:rPr>
        <w:footnoteRef/>
      </w:r>
      <w:r>
        <w:rPr>
          <w:rFonts w:ascii="David" w:cs="David" w:eastAsia="David" w:hAnsi="David"/>
          <w:sz w:val="20"/>
          <w:szCs w:val="20"/>
          <w:rtl/>
        </w:rPr>
        <w:t xml:space="preserve"> שם, בעמ' 209-210.</w:t>
      </w:r>
    </w:p>
  </w:footnote>
  <w:footnote w:id="149">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163.</w:t>
      </w:r>
    </w:p>
  </w:footnote>
  <w:footnote w:id="15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Eck &amp; Spelman‎</w:t>
      </w:r>
      <w:r>
        <w:rPr>
          <w:rFonts w:ascii="David" w:cs="David" w:eastAsia="David" w:hAnsi="David"/>
          <w:sz w:val="20"/>
          <w:szCs w:val="20"/>
          <w:rtl/>
        </w:rPr>
        <w:t xml:space="preserve">, לעיל ה"ש 17, בעמ' </w:t>
      </w:r>
      <w:r>
        <w:rPr>
          <w:rFonts w:ascii="David" w:cs="David" w:eastAsia="David" w:hAnsi="David"/>
          <w:sz w:val="20"/>
          <w:szCs w:val="20"/>
          <w:rtl w:val="false"/>
        </w:rPr>
        <w:t xml:space="preserve">xix.‎</w:t>
      </w:r>
    </w:p>
  </w:footnote>
  <w:footnote w:id="151">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28, בעמ' 238.</w:t>
      </w:r>
    </w:p>
  </w:footnote>
  <w:footnote w:id="152">
    <w:p>
      <w:pPr>
        <w:bidi/>
        <w:spacing w:after="40" w:line="240"/>
        <w:jc w:val="both"/>
      </w:pPr>
      <w:r>
        <w:rPr>
          <w:rStyle w:val="FootnoteReference"/>
        </w:rPr>
        <w:footnoteRef/>
      </w:r>
      <w:r>
        <w:rPr>
          <w:rFonts w:ascii="David" w:cs="David" w:eastAsia="David" w:hAnsi="David"/>
          <w:sz w:val="20"/>
          <w:szCs w:val="20"/>
          <w:rtl/>
        </w:rPr>
        <w:t xml:space="preserve"> שם, בעמ' 240.</w:t>
      </w:r>
    </w:p>
  </w:footnote>
  <w:footnote w:id="15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Group Violence Intervention‎</w:t>
      </w:r>
      <w:r>
        <w:rPr>
          <w:rFonts w:ascii="David" w:cs="David" w:eastAsia="David" w:hAnsi="David"/>
          <w:sz w:val="20"/>
          <w:szCs w:val="20"/>
          <w:rtl/>
        </w:rPr>
        <w:t xml:space="preserve">, לעיל ה"ש 123, בעמ' 5.</w:t>
      </w:r>
    </w:p>
  </w:footnote>
  <w:footnote w:id="154">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28, בעמ' 227.</w:t>
      </w:r>
    </w:p>
  </w:footnote>
  <w:footnote w:id="155">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156">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28, בעמ' 242.</w:t>
      </w:r>
    </w:p>
  </w:footnote>
  <w:footnote w:id="157">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7-6.</w:t>
      </w:r>
    </w:p>
  </w:footnote>
  <w:footnote w:id="158">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3.</w:t>
      </w:r>
    </w:p>
  </w:footnote>
  <w:footnote w:id="159">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2021</w:t>
      </w:r>
      <w:r>
        <w:rPr>
          <w:rFonts w:ascii="David" w:cs="David" w:eastAsia="David" w:hAnsi="David"/>
          <w:sz w:val="20"/>
          <w:szCs w:val="20"/>
          <w:rtl/>
        </w:rPr>
        <w:t xml:space="preserve">, לעיל ה"ש 2, בעמ' 4.</w:t>
      </w:r>
    </w:p>
  </w:footnote>
  <w:footnote w:id="160">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4.</w:t>
      </w:r>
    </w:p>
  </w:footnote>
  <w:footnote w:id="16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Goldstein‎</w:t>
      </w:r>
      <w:r>
        <w:rPr>
          <w:rFonts w:ascii="David" w:cs="David" w:eastAsia="David" w:hAnsi="David"/>
          <w:sz w:val="20"/>
          <w:szCs w:val="20"/>
          <w:rtl/>
        </w:rPr>
        <w:t xml:space="preserve">, לעיל ה"ש 9, בעמ' 236.</w:t>
      </w:r>
    </w:p>
  </w:footnote>
  <w:footnote w:id="162">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28, בעמ' 242.</w:t>
      </w:r>
    </w:p>
  </w:footnote>
  <w:footnote w:id="163">
    <w:p>
      <w:pPr>
        <w:bidi/>
        <w:spacing w:after="40" w:line="240"/>
        <w:jc w:val="both"/>
      </w:pPr>
      <w:r>
        <w:rPr>
          <w:rStyle w:val="FootnoteReference"/>
        </w:rPr>
        <w:footnoteRef/>
      </w:r>
      <w:r>
        <w:rPr>
          <w:rFonts w:ascii="David" w:cs="David" w:eastAsia="David" w:hAnsi="David"/>
          <w:sz w:val="20"/>
          <w:szCs w:val="20"/>
          <w:rtl/>
        </w:rPr>
        <w:t xml:space="preserve"> שם, בעמ' 243.</w:t>
      </w:r>
    </w:p>
  </w:footnote>
  <w:footnote w:id="164">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6.</w:t>
      </w:r>
    </w:p>
  </w:footnote>
  <w:footnote w:id="165">
    <w:p>
      <w:pPr>
        <w:bidi/>
        <w:spacing w:after="40" w:line="240"/>
        <w:jc w:val="both"/>
      </w:pPr>
      <w:r>
        <w:rPr>
          <w:rStyle w:val="FootnoteReference"/>
        </w:rPr>
        <w:footnoteRef/>
      </w:r>
      <w:r>
        <w:rPr>
          <w:rFonts w:ascii="David" w:cs="David" w:eastAsia="David" w:hAnsi="David"/>
          <w:sz w:val="20"/>
          <w:szCs w:val="20"/>
          <w:rtl/>
        </w:rPr>
        <w:t xml:space="preserve"> אסף הרדוף "ויתור, הידברות, בג"ץ: שחרור חסמים בסדר הדין הפלילי, צמצום הכוח המנהלי והגברת הביקורת השיפוטית" </w:t>
      </w:r>
      <w:r>
        <w:rPr>
          <w:rFonts w:ascii="David" w:cs="David" w:eastAsia="David" w:hAnsi="David"/>
          <w:b/>
          <w:bCs/>
          <w:sz w:val="20"/>
          <w:szCs w:val="20"/>
          <w:rtl/>
        </w:rPr>
        <w:t xml:space="preserve">ספר אליקים רובינשטיין</w:t>
      </w:r>
      <w:r>
        <w:rPr>
          <w:rFonts w:ascii="David" w:cs="David" w:eastAsia="David" w:hAnsi="David"/>
          <w:sz w:val="20"/>
          <w:szCs w:val="20"/>
          <w:rtl/>
        </w:rPr>
        <w:t xml:space="preserve"> 1817, 1849 (מרים ביטון עורכת, 2020).</w:t>
      </w:r>
    </w:p>
  </w:footnote>
  <w:footnote w:id="166">
    <w:p>
      <w:pPr>
        <w:bidi/>
        <w:spacing w:after="40" w:line="240"/>
        <w:jc w:val="both"/>
      </w:pPr>
      <w:r>
        <w:rPr>
          <w:rStyle w:val="FootnoteReference"/>
        </w:rPr>
        <w:footnoteRef/>
      </w:r>
      <w:r>
        <w:rPr>
          <w:rFonts w:ascii="David" w:cs="David" w:eastAsia="David" w:hAnsi="David"/>
          <w:sz w:val="20"/>
          <w:szCs w:val="20"/>
          <w:rtl/>
        </w:rPr>
        <w:t xml:space="preserve"> חסייסי ואחרים "עמדות הציבור", לעיל ה"ש 104, בעמ' 304, 302.</w:t>
      </w:r>
    </w:p>
  </w:footnote>
  <w:footnote w:id="16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Bell‎</w:t>
      </w:r>
      <w:r>
        <w:rPr>
          <w:rFonts w:ascii="David" w:cs="David" w:eastAsia="David" w:hAnsi="David"/>
          <w:sz w:val="20"/>
          <w:szCs w:val="20"/>
          <w:rtl/>
        </w:rPr>
        <w:t xml:space="preserve">, לעיל ה"ש 29, בעמ' 2054.</w:t>
      </w:r>
    </w:p>
  </w:footnote>
  <w:footnote w:id="168">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13, בפס' 41 לפסק דינה של הנשיאה חיות.</w:t>
      </w:r>
    </w:p>
  </w:footnote>
  <w:footnote w:id="16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109, בפס' </w:t>
      </w:r>
      <w:r>
        <w:rPr>
          <w:rFonts w:ascii="David" w:cs="David" w:eastAsia="David" w:hAnsi="David"/>
          <w:sz w:val="20"/>
          <w:szCs w:val="20"/>
          <w:rtl w:val="false"/>
        </w:rPr>
        <w:t xml:space="preserve">2.2B.‎</w:t>
      </w:r>
    </w:p>
  </w:footnote>
  <w:footnote w:id="17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Macpherson Report‎</w:t>
      </w:r>
      <w:r>
        <w:rPr>
          <w:rFonts w:ascii="David" w:cs="David" w:eastAsia="David" w:hAnsi="David"/>
          <w:sz w:val="20"/>
          <w:szCs w:val="20"/>
          <w:rtl/>
        </w:rPr>
        <w:t xml:space="preserve">, לעיל ה"ש 130, בהמלצה 61.</w:t>
      </w:r>
    </w:p>
  </w:footnote>
  <w:footnote w:id="17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109, בפס' 5.1.</w:t>
      </w:r>
    </w:p>
  </w:footnote>
  <w:footnote w:id="17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Roberts‎</w:t>
      </w:r>
      <w:r>
        <w:rPr>
          <w:rFonts w:ascii="David" w:cs="David" w:eastAsia="David" w:hAnsi="David"/>
          <w:sz w:val="20"/>
          <w:szCs w:val="20"/>
          <w:rtl/>
        </w:rPr>
        <w:t xml:space="preserve">, לעיל ה"ש 132, בפס' 44-47.</w:t>
      </w:r>
    </w:p>
  </w:footnote>
  <w:footnote w:id="173">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74">
    <w:p>
      <w:pPr>
        <w:bidi/>
        <w:spacing w:after="40" w:line="240"/>
        <w:jc w:val="both"/>
      </w:pPr>
      <w:r>
        <w:rPr>
          <w:rStyle w:val="FootnoteReference"/>
        </w:rPr>
        <w:footnoteRef/>
      </w:r>
      <w:r>
        <w:rPr>
          <w:rFonts w:ascii="David" w:cs="David" w:eastAsia="David" w:hAnsi="David"/>
          <w:sz w:val="20"/>
          <w:szCs w:val="20"/>
          <w:rtl/>
        </w:rPr>
        <w:t xml:space="preserve"> רותם קדוש נוסבאום "פגיעה בזכויות אדם בשל שימוש משטרתי באמצעים טכנולוגיים למעקב ושיטור מנבא" </w:t>
      </w:r>
      <w:r>
        <w:rPr>
          <w:rFonts w:ascii="David" w:cs="David" w:eastAsia="David" w:hAnsi="David"/>
          <w:b/>
          <w:bCs/>
          <w:sz w:val="20"/>
          <w:szCs w:val="20"/>
          <w:rtl/>
        </w:rPr>
        <w:t xml:space="preserve">המשפט</w:t>
      </w:r>
      <w:r>
        <w:rPr>
          <w:rFonts w:ascii="David" w:cs="David" w:eastAsia="David" w:hAnsi="David"/>
          <w:sz w:val="20"/>
          <w:szCs w:val="20"/>
          <w:rtl/>
        </w:rPr>
        <w:t xml:space="preserve"> לא 79, 112 (התשפ"ו).</w:t>
      </w:r>
    </w:p>
  </w:footnote>
  <w:footnote w:id="175">
    <w:p>
      <w:pPr>
        <w:bidi/>
        <w:spacing w:after="40" w:line="240"/>
        <w:jc w:val="both"/>
      </w:pPr>
      <w:r>
        <w:rPr>
          <w:rStyle w:val="FootnoteReference"/>
        </w:rPr>
        <w:footnoteRef/>
      </w:r>
      <w:r>
        <w:rPr>
          <w:rFonts w:ascii="David" w:cs="David" w:eastAsia="David" w:hAnsi="David"/>
          <w:sz w:val="20"/>
          <w:szCs w:val="20"/>
          <w:rtl/>
        </w:rPr>
        <w:t xml:space="preserve"> הרדוף "ויתור, הידברות, בג"ץ", לעיל ה"ש 165, בעמ' 1844.</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David" w:cs="David" w:eastAsia="David" w:hAnsi="David"/>
      <w:b/>
      <w:bCs/>
      <w:sz w:val="32"/>
      <w:szCs w:val="32"/>
    </w:rPr>
  </w:style>
  <w:style w:type="paragraph" w:styleId="Heading2">
    <w:name w:val="Heading 2"/>
    <w:basedOn w:val="Normal"/>
    <w:next w:val="Normal"/>
    <w:qFormat/>
    <w:pPr>
      <w:bidi/>
      <w:outlineLvl w:val="1"/>
    </w:pPr>
    <w:rPr>
      <w:rFonts w:ascii="David" w:cs="David" w:eastAsia="David" w:hAnsi="David"/>
      <w:b/>
      <w:bCs/>
      <w:sz w:val="28"/>
      <w:szCs w:val="28"/>
    </w:rPr>
  </w:style>
  <w:style w:type="paragraph" w:styleId="Heading3">
    <w:name w:val="Heading 3"/>
    <w:basedOn w:val="Normal"/>
    <w:next w:val="Normal"/>
    <w:qFormat/>
    <w:pPr>
      <w:bidi/>
      <w:outlineLvl w:val="2"/>
    </w:pPr>
    <w:rPr>
      <w:rFonts w:ascii="David" w:cs="David" w:eastAsia="David" w:hAnsi="David"/>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2026-09-24T18:01:36.522Z</dcterms:created>
  <dcterms:modified xsi:type="dcterms:W3CDTF">2026-09-24T18:01:36.522Z</dcterms:modified>
</cp:coreProperties>
</file>

<file path=docProps/custom.xml><?xml version="1.0" encoding="utf-8"?>
<Properties xmlns="http://schemas.openxmlformats.org/officeDocument/2006/custom-properties" xmlns:vt="http://schemas.openxmlformats.org/officeDocument/2006/docPropsVTypes"/>
</file>