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40"/>
        <w:jc w:val="center"/>
      </w:pPr>
      <w:r>
        <w:rPr>
          <w:rFonts w:ascii="David" w:cs="David" w:eastAsia="David" w:hAnsi="David"/>
          <w:b/>
          <w:bCs/>
          <w:sz w:val="32"/>
          <w:szCs w:val="32"/>
          <w:rtl/>
        </w:rPr>
        <w:t xml:space="preserve">נתונים ומקורות: תיאור המצוקה — אבטלה ופערי תעסוקה בחברה הערבית</w:t>
      </w:r>
    </w:p>
    <w:p>
      <w:pPr>
        <w:bidi/>
        <w:spacing w:after="120" w:line="300"/>
        <w:jc w:val="right"/>
      </w:pPr>
      <w:r>
        <w:rPr>
          <w:rFonts w:ascii="David" w:cs="David" w:eastAsia="David" w:hAnsi="David"/>
          <w:sz w:val="22"/>
          <w:szCs w:val="22"/>
          <w:rtl/>
        </w:rPr>
        <w:t xml:space="preserve">הקובץ מרכז את כל הנתונים המשמשים בפרק תיאור המצוקה, לצד המקור המדויק של כל נתון וקישור למקור. הנתונים מסודרים לפי המבנה שביקש המנחה: מדדי אבטלה ישירים, מגמת החמרה לאורך השנים בהשוואה ליהודים הלא-חרדים, ולאחר מכן פילוחים בתוך החברה הערבית.</w:t>
      </w:r>
    </w:p>
    <w:p>
      <w:pPr>
        <w:pStyle w:val="Heading1"/>
        <w:bidi/>
        <w:spacing w:after="120" w:before="240"/>
        <w:jc w:val="right"/>
      </w:pPr>
      <w:r>
        <w:rPr>
          <w:rFonts w:ascii="David" w:cs="David" w:eastAsia="David" w:hAnsi="David"/>
          <w:b/>
          <w:bCs/>
          <w:color w:val="000000"/>
          <w:sz w:val="28"/>
          <w:szCs w:val="28"/>
          <w:rtl/>
        </w:rPr>
        <w:t xml:space="preserve">א. שיעורי אבטלה ומגמת ההחמרה, 2019–2025 (סדר כרונולוגי)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500"/>
        <w:gridCol w:w="2800"/>
      </w:tblGrid>
      <w:tr>
        <w:trPr>
          <w:tblHeader/>
        </w:trPr>
        <w:tc>
          <w:tcPr>
            <w:tcW w:type="dxa" w:w="47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הנתון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תקופה</w:t>
            </w:r>
          </w:p>
        </w:tc>
        <w:tc>
          <w:tcPr>
            <w:tcW w:type="dxa" w:w="28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מקור (אזכור בנייר)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מספר תובעי קצבת אבטלה מהאוכלוסייה הלא-יהודית עלה בכ-14% (מ-14,102 ל-16,075), לעומת כ-5% בלבד בקרב יהודים; שיעור דורשי העבודה הערבים גבוה ממשקלם באוכלוסייה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2019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שירות התעסוקה (2019)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שיעור הבלתי-מועסקים: ערבים 5.5% לעומת יהודים 3.5%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2022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המכון הישראלי לדמוקרטיה (2023)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שיעור האבטלה בחברה הערבית שילש את עצמו בתוך חודש, והגיע לכפליים מהשיעור בחברה היהודית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אוקטובר 2023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בנק ישראל (2024ב)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אבטלה רחבה: 15.6% בחברה הערבית לעומת 8.6% בקרב יהודים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אוקטובר–נובמבר 2023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בנק ישראל (2024ב)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היעדרות מעבודה מסיבות כלכליות בקרב מועסקים: ערבים מ-0.5% ל-10.3%; יהודים מ-0.3% ל-5.6%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אוקטובר 2023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ג'וינט ישראל (2025), עמ' 20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תעסוקת גברים ערבים בני 25–66: כ-78% ערב המלחמה, 66% באוקטובר–נובמבר 2023, 71% בינואר 2024 (התאוששות חלקית)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2023–2024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ג'וינט ישראל (2025), עמ' 20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תעסוקת גברים ערבים בני 25–64: 75%, לעומת 87% בקרב גברים יהודים לא-חרדים (שנותרו יציבים לאורך כל התקופה)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רבעון ג׳ 2024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דבאוי ואחרים (2025), עמ' 15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חלק הערבים בדורשי העבודה הרשומים: 32% (ינואר 2023), 29.7% (ינואר 2024), 29.1% (ינואר 2025) — לעומת כחמישית מהאוכלוסייה בגילי העבודה; שיעור חזרה לעבודה נמוך במיוחד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2023–2025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שירות התעסוקה (2025)</w:t>
            </w:r>
          </w:p>
        </w:tc>
      </w:tr>
    </w:tbl>
    <w:p>
      <w:pPr>
        <w:pStyle w:val="Heading1"/>
        <w:bidi/>
        <w:spacing w:after="120" w:before="240"/>
        <w:jc w:val="right"/>
      </w:pPr>
      <w:r>
        <w:rPr>
          <w:rFonts w:ascii="David" w:cs="David" w:eastAsia="David" w:hAnsi="David"/>
          <w:b/>
          <w:bCs/>
          <w:color w:val="000000"/>
          <w:sz w:val="28"/>
          <w:szCs w:val="28"/>
          <w:rtl/>
        </w:rPr>
        <w:t xml:space="preserve">ב. פילוחים בתוך החברה הערבית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500"/>
        <w:gridCol w:w="2800"/>
      </w:tblGrid>
      <w:tr>
        <w:trPr>
          <w:tblHeader/>
        </w:trPr>
        <w:tc>
          <w:tcPr>
            <w:tcW w:type="dxa" w:w="47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הנתון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תקופה</w:t>
            </w:r>
          </w:p>
        </w:tc>
        <w:tc>
          <w:tcPr>
            <w:tcW w:type="dxa" w:w="28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מקור (אזכור בנייר)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פילוח מגדרי: 57.8% מדורשי העבודה החדשים בחברה הערבית במשבר הקורונה היו גברים, כמחציתם בני 20–34; אצל נשים — השתתפות נמוכה לצד קושי למצוא עבודה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משבר הקורונה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שירות התעסוקה (2020)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פילוח גילי: יותר משליש (34.5%) מהגברים הערבים בני 18–24 אינם עובדים ואינם לומדים (NEET)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2024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מדד אלפנאר (2025)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פילוח גאוגרפי: המצוקה מתרכזת בפריפריה; בקרב הבדואים בנגב חלק מקבלי הבטחת ההכנסה מדורשי העבודה גבוה במיוחד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משבר הקורונה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שירות התעסוקה (2020)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פילוח לפי רקע תעסוקתי: כשליש מהמועסקים הערבים במשלחי יד בסיכון גבוה לפגיעה בתעסוקה, לעומת 14% מהמועסקים היהודים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2023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בנק ישראל (2024ב)</w:t>
            </w:r>
          </w:p>
        </w:tc>
      </w:tr>
    </w:tbl>
    <w:p>
      <w:pPr>
        <w:pStyle w:val="Heading1"/>
        <w:bidi/>
        <w:spacing w:after="120" w:before="240"/>
        <w:jc w:val="right"/>
      </w:pPr>
      <w:r>
        <w:rPr>
          <w:rFonts w:ascii="David" w:cs="David" w:eastAsia="David" w:hAnsi="David"/>
          <w:b/>
          <w:bCs/>
          <w:color w:val="000000"/>
          <w:sz w:val="28"/>
          <w:szCs w:val="28"/>
          <w:rtl/>
        </w:rPr>
        <w:t xml:space="preserve">ג. רקע משלים: תעסוקה, השתתפות ושכר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500"/>
        <w:gridCol w:w="2800"/>
      </w:tblGrid>
      <w:tr>
        <w:trPr>
          <w:tblHeader/>
        </w:trPr>
        <w:tc>
          <w:tcPr>
            <w:tcW w:type="dxa" w:w="47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הנתון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תקופה</w:t>
            </w:r>
          </w:p>
        </w:tc>
        <w:tc>
          <w:tcPr>
            <w:tcW w:type="dxa" w:w="28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sz w:val="22"/>
                <w:szCs w:val="22"/>
                <w:rtl/>
              </w:rPr>
              <w:t xml:space="preserve">מקור (אזכור בנייר)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שיעור תעסוקה: כלל המשק כ-60.8%, האוכלוסייה הערבית כ-48% בלבד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2021–2022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הלשכה המרכזית לסטטיסטיקה (2023)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שיעור תעסוקת נשים ערביות: 28.3% (לעומת 61.6% בקרב נשים יהודיות)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2021–2022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הלשכה המרכזית לסטטיסטיקה (2023)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פער שכר של כ-45% בין גברים ערבים לגברים יהודים לא-חרדים, אף שהגברים הערבים עובדים בממוצע 21 שעות יותר בחודש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2021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משרד האוצר (2021)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פירוק פער השכר: השכלה 25%, ענפי תעסוקה 20%, מקום מגורים 17%, הכנסת הורים 12%; כ-35% בלתי-מוסבר. באותה רמת השכלה הפער עומד על כ-24%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2021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sz w:val="22"/>
                <w:szCs w:val="22"/>
                <w:rtl/>
              </w:rPr>
              <w:t xml:space="preserve">משרד האוצר (2021)</w:t>
            </w:r>
          </w:p>
        </w:tc>
      </w:tr>
    </w:tbl>
    <w:p>
      <w:pPr>
        <w:pStyle w:val="Heading1"/>
        <w:bidi/>
        <w:spacing w:after="120" w:before="240"/>
        <w:jc w:val="right"/>
      </w:pPr>
      <w:r>
        <w:rPr>
          <w:rFonts w:ascii="David" w:cs="David" w:eastAsia="David" w:hAnsi="David"/>
          <w:b/>
          <w:bCs/>
          <w:color w:val="000000"/>
          <w:sz w:val="28"/>
          <w:szCs w:val="28"/>
          <w:rtl/>
        </w:rPr>
        <w:t xml:space="preserve">רשימת המקורות עם קישורים</w:t>
      </w:r>
    </w:p>
    <w:p>
      <w:pPr>
        <w:bidi/>
        <w:spacing w:after="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בנק ישראל (2024ב). דין וחשבון 2023.</w:t>
      </w:r>
    </w:p>
    <w:p>
      <w:pPr>
        <w:spacing w:after="160"/>
        <w:jc w:val="left"/>
      </w:pPr>
      <w:hyperlink w:history="1" r:id="rIdnmwxmszvmm17qzizawohc">
        <w:r>
          <w:rPr>
            <w:rStyle w:val="Hyperlink"/>
            <w:rFonts w:ascii="Times New Roman" w:cs="Times New Roman" w:eastAsia="Times New Roman" w:hAnsi="Times New Roman"/>
            <w:sz w:val="18"/>
            <w:szCs w:val="18"/>
          </w:rPr>
          <w:t xml:space="preserve">https://boi.org.il/media/bixo1v0q/full-anuual2023.pdf</w:t>
        </w:r>
      </w:hyperlink>
    </w:p>
    <w:p>
      <w:pPr>
        <w:bidi/>
        <w:spacing w:after="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ג'וינט ישראל (2025). השלכות המלחמה על החברה הערבית: תמונת מצב על החברה הערבית בישראל.</w:t>
      </w:r>
    </w:p>
    <w:p>
      <w:pPr>
        <w:spacing w:after="160"/>
        <w:jc w:val="left"/>
      </w:pPr>
      <w:hyperlink w:history="1" r:id="rIdulagywgigpdcn2vqkn8fx">
        <w:r>
          <w:rPr>
            <w:rStyle w:val="Hyperlink"/>
            <w:rFonts w:ascii="Times New Roman" w:cs="Times New Roman" w:eastAsia="Times New Roman" w:hAnsi="Times New Roman"/>
            <w:sz w:val="18"/>
            <w:szCs w:val="18"/>
          </w:rPr>
          <w:t xml:space="preserve">https://www.thejoint.org.il/wp-content/uploads/2025/01/%D7%AA%D7%9E%D7%95%D7%A0%D7%AA-%D7%9E%D7%A6%D7%91-%D7%A2%D7%9C-%D7%94%D7%97%D7%91%D7%A8%D7%94-%D7%94%D7%A2%D7%A8%D7%91%D7%99%D7%AA-A4.pdf</w:t>
        </w:r>
      </w:hyperlink>
    </w:p>
    <w:p>
      <w:pPr>
        <w:bidi/>
        <w:spacing w:after="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דבאוי, מ', אפשטיין, ג', ווייס, א' (2025). שוק העבודה בישראל 2024: בצל המלחמה. מרכז טאוב לחקר המדיניות החברתית בישראל.</w:t>
      </w:r>
    </w:p>
    <w:p>
      <w:pPr>
        <w:spacing w:after="160"/>
        <w:jc w:val="left"/>
      </w:pPr>
      <w:hyperlink w:history="1" r:id="rIdttr0fsuu2px5lvo9julsw">
        <w:r>
          <w:rPr>
            <w:rStyle w:val="Hyperlink"/>
            <w:rFonts w:ascii="Times New Roman" w:cs="Times New Roman" w:eastAsia="Times New Roman" w:hAnsi="Times New Roman"/>
            <w:sz w:val="18"/>
            <w:szCs w:val="18"/>
          </w:rPr>
          <w:t xml:space="preserve">https://www.taubcenter.org.il/wp-content/uploads/2025/01/Labor-2024-HEB-2.pdf</w:t>
        </w:r>
      </w:hyperlink>
    </w:p>
    <w:p>
      <w:pPr>
        <w:bidi/>
        <w:spacing w:after="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הלשכה המרכזית לסטטיסטיקה (2023). פני החברה בישראל מס' 14 — פערים בין יהודים לערבים.</w:t>
      </w:r>
    </w:p>
    <w:p>
      <w:pPr>
        <w:spacing w:after="160"/>
        <w:jc w:val="left"/>
      </w:pPr>
      <w:hyperlink w:history="1" r:id="rIdcoux4xfne5uovcnx372xm">
        <w:r>
          <w:rPr>
            <w:rStyle w:val="Hyperlink"/>
            <w:rFonts w:ascii="Times New Roman" w:cs="Times New Roman" w:eastAsia="Times New Roman" w:hAnsi="Times New Roman"/>
            <w:sz w:val="18"/>
            <w:szCs w:val="18"/>
          </w:rPr>
          <w:t xml:space="preserve">https://www.cbs.gov.il/he/publications/DocLib/2023/rep_14/%D7%93%D7%95%D7%97%20%D7%A4%D7%A0%D7%99%20%D7%94%D7%97%D7%91%D7%A8%D7%94%20%D7%91%D7%99%D7%A9%D7%A8%D7%90%D7%9C%20%D7%9E%D7%A1%2014%20-%20INTERNET%20(1).pdf</w:t>
        </w:r>
      </w:hyperlink>
    </w:p>
    <w:p>
      <w:pPr>
        <w:bidi/>
        <w:spacing w:after="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המכון הישראלי לדמוקרטיה (2023). שנתון החברה הערבית בישראל 2023.</w:t>
      </w:r>
    </w:p>
    <w:p>
      <w:pPr>
        <w:spacing w:after="160"/>
        <w:jc w:val="left"/>
      </w:pPr>
      <w:hyperlink w:history="1" r:id="rId1xeihqswyaqz4kpjeroeb">
        <w:r>
          <w:rPr>
            <w:rStyle w:val="Hyperlink"/>
            <w:rFonts w:ascii="Times New Roman" w:cs="Times New Roman" w:eastAsia="Times New Roman" w:hAnsi="Times New Roman"/>
            <w:sz w:val="18"/>
            <w:szCs w:val="18"/>
          </w:rPr>
          <w:t xml:space="preserve">https://www.idi.org.il/arab-society/2023/</w:t>
        </w:r>
      </w:hyperlink>
    </w:p>
    <w:p>
      <w:pPr>
        <w:bidi/>
        <w:spacing w:after="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מדד אלפנאר (2025). מדד התעסוקה בחברה הערבית. אלפנאר לקידום תעסוקת ערבים בישראל.</w:t>
      </w:r>
    </w:p>
    <w:p>
      <w:pPr>
        <w:spacing w:after="160"/>
        <w:jc w:val="left"/>
      </w:pPr>
      <w:hyperlink w:history="1" r:id="rIdzglsryldj67qfikggrgyv">
        <w:r>
          <w:rPr>
            <w:rStyle w:val="Hyperlink"/>
            <w:rFonts w:ascii="Times New Roman" w:cs="Times New Roman" w:eastAsia="Times New Roman" w:hAnsi="Times New Roman"/>
            <w:sz w:val="18"/>
            <w:szCs w:val="18"/>
          </w:rPr>
          <w:t xml:space="preserve">https://alfanar.org.il/he/%D7%9E%D7%93%D7%93-%D7%90%D7%9C%D7%A4%D7%A0%D7%90%D7%A8-2025/</w:t>
        </w:r>
      </w:hyperlink>
    </w:p>
    <w:p>
      <w:pPr>
        <w:bidi/>
        <w:spacing w:after="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משרד האוצר (2021). פערי שכר בין גברים יהודים לערבים — אגף הכלכלן הראשי (סקירה מנובמבר 2021; דיווח: כלכליסט).</w:t>
      </w:r>
    </w:p>
    <w:p>
      <w:pPr>
        <w:spacing w:after="160"/>
        <w:jc w:val="left"/>
      </w:pPr>
      <w:hyperlink w:history="1" r:id="rId3ym6v4sa8uxgwmmhctlcv">
        <w:r>
          <w:rPr>
            <w:rStyle w:val="Hyperlink"/>
            <w:rFonts w:ascii="Times New Roman" w:cs="Times New Roman" w:eastAsia="Times New Roman" w:hAnsi="Times New Roman"/>
            <w:sz w:val="18"/>
            <w:szCs w:val="18"/>
          </w:rPr>
          <w:t xml:space="preserve">https://www.calcalist.co.il/local_news/article/hkbhvxfdt</w:t>
        </w:r>
      </w:hyperlink>
    </w:p>
    <w:p>
      <w:pPr>
        <w:bidi/>
        <w:spacing w:after="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שירות התעסוקה (2019). דוח סיכום שנת 2019: מגמות בשוק העבודה. שירות התעסוקה הישראלי.</w:t>
      </w:r>
    </w:p>
    <w:p>
      <w:pPr>
        <w:spacing w:after="160"/>
        <w:jc w:val="left"/>
      </w:pPr>
      <w:hyperlink w:history="1" r:id="rIdbk_sxbrxrk9swyd7ryglh">
        <w:r>
          <w:rPr>
            <w:rStyle w:val="Hyperlink"/>
            <w:rFonts w:ascii="Times New Roman" w:cs="Times New Roman" w:eastAsia="Times New Roman" w:hAnsi="Times New Roman"/>
            <w:sz w:val="18"/>
            <w:szCs w:val="18"/>
          </w:rPr>
          <w:t xml:space="preserve">https://www.taasuka.gov.il/he/InfoAndPublications/ReasearchAndReviews/pages/datasummary1219.aspx</w:t>
        </w:r>
      </w:hyperlink>
    </w:p>
    <w:p>
      <w:pPr>
        <w:bidi/>
        <w:spacing w:after="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שירות התעסוקה (2020). מאפייני דורשי העבודה החדשים בתקופת משבר הקורונה. שירות התעסוקה הישראלי.</w:t>
      </w:r>
    </w:p>
    <w:p>
      <w:pPr>
        <w:spacing w:after="160"/>
        <w:jc w:val="left"/>
      </w:pPr>
      <w:r>
        <w:rPr>
          <w:rFonts w:ascii="David" w:cs="David" w:eastAsia="David" w:hAnsi="David"/>
          <w:i/>
          <w:iCs/>
          <w:sz w:val="18"/>
          <w:szCs w:val="18"/>
          <w:rtl/>
        </w:rPr>
        <w:t xml:space="preserve">(פרסום מודפס / ללא קישור יציב)</w:t>
      </w:r>
    </w:p>
    <w:p>
      <w:pPr>
        <w:bidi/>
        <w:spacing w:after="20"/>
        <w:jc w:val="right"/>
      </w:pPr>
      <w:r>
        <w:rPr>
          <w:rFonts w:ascii="David" w:cs="David" w:eastAsia="David" w:hAnsi="David"/>
          <w:sz w:val="24"/>
          <w:szCs w:val="24"/>
          <w:rtl/>
        </w:rPr>
        <w:t xml:space="preserve">שירות התעסוקה (2025). נתוני דורשי עבודה לפי קבוצות אוכלוסייה. שירות התעסוקה הישראלי.</w:t>
      </w:r>
    </w:p>
    <w:p>
      <w:pPr>
        <w:spacing w:after="160"/>
        <w:jc w:val="left"/>
      </w:pPr>
      <w:r>
        <w:rPr>
          <w:rFonts w:ascii="David" w:cs="David" w:eastAsia="David" w:hAnsi="David"/>
          <w:i/>
          <w:iCs/>
          <w:sz w:val="18"/>
          <w:szCs w:val="18"/>
          <w:rtl/>
        </w:rPr>
        <w:t xml:space="preserve">(פרסום מודפס / ללא קישור יציב)</w:t>
      </w:r>
    </w:p>
    <w:p>
      <w:pPr>
        <w:bidi/>
        <w:spacing w:after="120" w:line="300"/>
        <w:jc w:val="right"/>
      </w:pPr>
      <w:r>
        <w:rPr>
          <w:rFonts w:ascii="David" w:cs="David" w:eastAsia="David" w:hAnsi="David"/>
          <w:i/>
          <w:iCs/>
          <w:sz w:val="20"/>
          <w:szCs w:val="20"/>
          <w:rtl/>
        </w:rPr>
        <w:t xml:space="preserve">הערה: שני פרסומי שירות התעסוקה (2020; 2025) זמינים בעמוד המחקרים והסקירות באתר שירות התעסוקה (taasuka.gov.il); מומלץ לאתר שם את הקישור הישיר לכל דוח לפני ההגשה.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mwxmszvmm17qzizawohc" Type="http://schemas.openxmlformats.org/officeDocument/2006/relationships/hyperlink" Target="https://boi.org.il/media/bixo1v0q/full-anuual2023.pdf" TargetMode="External"/><Relationship Id="rIdulagywgigpdcn2vqkn8fx" Type="http://schemas.openxmlformats.org/officeDocument/2006/relationships/hyperlink" Target="https://www.thejoint.org.il/wp-content/uploads/2025/01/%D7%AA%D7%9E%D7%95%D7%A0%D7%AA-%D7%9E%D7%A6%D7%91-%D7%A2%D7%9C-%D7%94%D7%97%D7%91%D7%A8%D7%94-%D7%94%D7%A2%D7%A8%D7%91%D7%99%D7%AA-A4.pdf" TargetMode="External"/><Relationship Id="rIdttr0fsuu2px5lvo9julsw" Type="http://schemas.openxmlformats.org/officeDocument/2006/relationships/hyperlink" Target="https://www.taubcenter.org.il/wp-content/uploads/2025/01/Labor-2024-HEB-2.pdf" TargetMode="External"/><Relationship Id="rIdcoux4xfne5uovcnx372xm" Type="http://schemas.openxmlformats.org/officeDocument/2006/relationships/hyperlink" Target="https://www.cbs.gov.il/he/publications/DocLib/2023/rep_14/%D7%93%D7%95%D7%97%20%D7%A4%D7%A0%D7%99%20%D7%94%D7%97%D7%91%D7%A8%D7%94%20%D7%91%D7%99%D7%A9%D7%A8%D7%90%D7%9C%20%D7%9E%D7%A1%2014%20-%20INTERNET%20(1).pdf" TargetMode="External"/><Relationship Id="rId1xeihqswyaqz4kpjeroeb" Type="http://schemas.openxmlformats.org/officeDocument/2006/relationships/hyperlink" Target="https://www.idi.org.il/arab-society/2023/" TargetMode="External"/><Relationship Id="rIdzglsryldj67qfikggrgyv" Type="http://schemas.openxmlformats.org/officeDocument/2006/relationships/hyperlink" Target="https://alfanar.org.il/he/%D7%9E%D7%93%D7%93-%D7%90%D7%9C%D7%A4%D7%A0%D7%90%D7%A8-2025/" TargetMode="External"/><Relationship Id="rId3ym6v4sa8uxgwmmhctlcv" Type="http://schemas.openxmlformats.org/officeDocument/2006/relationships/hyperlink" Target="https://www.calcalist.co.il/local_news/article/hkbhvxfdt" TargetMode="External"/><Relationship Id="rIdbk_sxbrxrk9swyd7ryglh" Type="http://schemas.openxmlformats.org/officeDocument/2006/relationships/hyperlink" Target="https://www.taasuka.gov.il/he/InfoAndPublications/ReasearchAndReviews/pages/datasummary1219.aspx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2026-08-24T07:08:57.970Z</dcterms:created>
  <dcterms:modified xsi:type="dcterms:W3CDTF">2026-08-24T07:08:57.971Z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