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center"/>
      </w:pPr>
      <w:r>
        <w:rPr>
          <w:rFonts w:ascii="David" w:cs="David" w:eastAsia="David" w:hAnsi="David"/>
          <w:b/>
          <w:bCs/>
          <w:sz w:val="24"/>
          <w:szCs w:val="24"/>
          <w:rtl/>
        </w:rPr>
        <w:t xml:space="preserve">המחלקה למינהל ומדיניות ציבורית, מכללת ספיר | תרגיל אינטגרטיבי תשפ"ו: ביטחון מזון, משימת סיכום</w:t>
      </w:r>
    </w:p>
    <w:p>
      <w:pPr>
        <w:bidi/>
        <w:spacing w:after="160"/>
        <w:jc w:val="center"/>
      </w:pPr>
      <w:r>
        <w:rPr>
          <w:rFonts w:ascii="David" w:cs="David" w:eastAsia="David" w:hAnsi="David"/>
          <w:sz w:val="24"/>
          <w:szCs w:val="24"/>
          <w:rtl/>
        </w:rPr>
        <w:t xml:space="preserve">מרצה: ד"ר נטע שר-הדר | מגיש/ה: [שם מלא], ת"ז [מספר] | אלול תשפ"ו, אוגוסט 2026</w:t>
      </w:r>
    </w:p>
    <w:p>
      <w:pPr>
        <w:bidi/>
        <w:spacing w:after="40" w:before="100" w:line="360"/>
        <w:jc w:val="both"/>
      </w:pPr>
      <w:r>
        <w:rPr>
          <w:rFonts w:ascii="David" w:cs="David" w:eastAsia="David" w:hAnsi="David"/>
          <w:b/>
          <w:bCs/>
          <w:sz w:val="24"/>
          <w:szCs w:val="24"/>
          <w:rtl/>
        </w:rPr>
        <w:t xml:space="preserve">1. היעד הנבחר, השותפים ונקודת החיכוך</w:t>
      </w:r>
    </w:p>
    <w:p>
      <w:pPr>
        <w:bidi/>
        <w:spacing w:after="60" w:line="360"/>
        <w:jc w:val="both"/>
      </w:pPr>
      <w:r>
        <w:rPr>
          <w:rFonts w:ascii="David" w:cs="David" w:eastAsia="David" w:hAnsi="David"/>
          <w:sz w:val="24"/>
          <w:szCs w:val="24"/>
          <w:rtl/>
        </w:rPr>
        <w:t xml:space="preserve">היעד הנבחר מתוך עשרת היעדים הלאומיים שבתוכנית הוא צמצום אובדן ובזבוז מזון (משרד החקלאות וביטחון המזון, 2025; נספח, ציטוט 1). הבחירה נשענת על שני טעמים. ראשית, התוכנית עצמה מונה את בזבוז המזון ואובדנו בין האיומים המתמשכים על מערכות המזון (נספח, ציטוט 3), והיקף האובדן בישראל נאמד בכ-2.6 מיליון טונות בשנה, בשווי של מיליארדי שקלים, כשחלק ניכר ממנו ניתן להצלה (לקט ישראל, 2024). שנית, זהו יעד שמימושו אינו מצוי בידי משרד החקלאות כלל: העודפים נוצרים אצל קמעונאים, במטבחים מוסדיים ובאולמות, בקצה שרשרת האספקה, ולכן המשרד שכתב את התוכנית תלוי לגמרי בגופים שלא כתבו אותה.</w:t>
      </w:r>
    </w:p>
    <w:p>
      <w:pPr>
        <w:bidi/>
        <w:spacing w:after="60" w:line="360"/>
        <w:jc w:val="both"/>
      </w:pPr>
      <w:r>
        <w:rPr>
          <w:rFonts w:ascii="David" w:cs="David" w:eastAsia="David" w:hAnsi="David"/>
          <w:sz w:val="24"/>
          <w:szCs w:val="24"/>
          <w:rtl/>
        </w:rPr>
        <w:t xml:space="preserve">שני השותפים שבלעדיהם היעד לא יתממש הם המשרד להגנת הסביבה ומשרד הבריאות, שניהם שותפים מוצהרים בגיבוש התוכנית (נספח, ציטוט 2). המשרד להגנת הסביבה הוא המאסדר של משק הפסולת: הוא מחזיק בתוכנית הלאומית לצמצום אובדן ובזבוז מזון ופועל להפחתת ההטמנה, ולכן בידיו הכלים והתמריצים שיכריעו אם מזון עודף יוסט להצלה או ייקבר (המשרד להגנת הסביבה, 2025). משרד הבריאות, באמצעות שירות המזון הארצי, אמון על בטיחות המזון ומסדיר את פעילות עסקי המזון וההסעדה, ולכן כל העברה של עודפי מזון מגוף לגוף עוברת דרך כלליו (משרד הבריאות, 2026). בלי הראשון אין תשתית ותמריץ להסטת מזון מהטמנה; בלי השני אין דרך חוקית להעבירו. אף גוף אחר אינו יכול למלא את מקומם: למשרד החקלאות אין סמכות על עסקי הסעדה, ולעמותות ההצלה אין מעמד מאסדר. היעד יושב בדיוק על קו התפר שבין שני המנדטים.</w:t>
      </w:r>
    </w:p>
    <w:p>
      <w:pPr>
        <w:bidi/>
        <w:spacing w:after="60" w:line="360"/>
        <w:jc w:val="both"/>
      </w:pPr>
      <w:r>
        <w:rPr>
          <w:rFonts w:ascii="David" w:cs="David" w:eastAsia="David" w:hAnsi="David"/>
          <w:sz w:val="24"/>
          <w:szCs w:val="24"/>
          <w:rtl/>
        </w:rPr>
        <w:t xml:space="preserve">נקודת החיכוך מובנית בהגדרות התפקיד, לא באנשים. המשרד להגנת הסביבה נמדד בכמות המזון שהוסטה מהטמנה, ולכן שואף להרחיב את ההצלה לעוד סוגי מזון ולעוד מצבים. משרד הבריאות נמדד במניעת תחלואה, ולכן ברירת המחדל שלו מצמצמת: מזון מבושל שיצא מקו ההגשה הוא בעיניו סיכון, ומוטב שיושלך משיחלה ממנו אדם. גם חלוקת הסיכון אינה שווה: הצלחת הצלה תיזקף לזכות האחד, ואילו אירוע תחלואה יונח כולו לפתחו של השני. החיכוך מתחדד משום שאין מדד משותף: איש אינו מודד את משרד הבריאות על מזון שניצל, ואיש אינו מודד את המשרד להגנת הסביבה על תחלואה שנמנעה, וכך כל אחד רואה רק את צדו של המגש. שני הגופים צודקים מתוקף תפקידם, וזה בדיוק מקור הבעיה.</w:t>
      </w:r>
    </w:p>
    <w:p>
      <w:pPr>
        <w:bidi/>
        <w:spacing w:after="40" w:before="100" w:line="360"/>
        <w:jc w:val="both"/>
      </w:pPr>
      <w:r>
        <w:rPr>
          <w:rFonts w:ascii="David" w:cs="David" w:eastAsia="David" w:hAnsi="David"/>
          <w:b/>
          <w:bCs/>
          <w:sz w:val="24"/>
          <w:szCs w:val="24"/>
          <w:rtl/>
        </w:rPr>
        <w:t xml:space="preserve">2. תרחיש כשל</w:t>
      </w:r>
    </w:p>
    <w:p>
      <w:pPr>
        <w:bidi/>
        <w:spacing w:after="60" w:line="360"/>
        <w:jc w:val="both"/>
      </w:pPr>
      <w:r>
        <w:rPr>
          <w:rFonts w:ascii="David" w:cs="David" w:eastAsia="David" w:hAnsi="David"/>
          <w:sz w:val="24"/>
          <w:szCs w:val="24"/>
          <w:rtl/>
        </w:rPr>
        <w:t xml:space="preserve">התוכנית אושרה, והמשרד להגנת הסביבה הציב לאולמות האירועים יעד שנתי להצלת מזון. באולם בדרום מסתיימת חתונה בשעה אחת בלילה, ונותרו כמאתיים מנות מבושלות. עמותת הצלה מגיעה לאסוף, אך מנהל המטבח מסרב: הנחיות משרד הבריאות לעסקי מזון קובעות שמנה שיצאה מקו ההגשה אינה ניתנת להעברה בלא בקרת קור מתועדת וגורם מוסמך שיאשר אותה, ואף אחד משני המשרדים לא קבע נוהל משותף המגדיר מי אחראי למזון מרגע שעזב את האולם ומי נושא בחבות אם מישהו ייפגע. מנהל המטבח, שרישיון העסק שלו תלוי במשרד הבריאות ושאיש אינו בודק אותו על הטמנה, בוחר את הבחירה הרציונלית היחידה מבחינתו: הפח. המשאית חוזרת ריקה, וכך ערב אחר ערב, בעשרות אולמות. בסוף השנה איש אינו נדרש לפער, כי כל גוף עמד בדיוק בהגדרת תפקידו. אין כאן מחסור במשאבים ואין רצון רע. יש תפר שאין לו בעלים.</w:t>
      </w:r>
    </w:p>
    <w:p>
      <w:pPr>
        <w:bidi/>
        <w:spacing w:after="60" w:line="360"/>
        <w:jc w:val="both"/>
      </w:pPr>
      <w:r>
        <w:rPr>
          <w:rFonts w:ascii="David" w:cs="David" w:eastAsia="David" w:hAnsi="David"/>
          <w:sz w:val="24"/>
          <w:szCs w:val="24"/>
          <w:rtl/>
        </w:rPr>
        <w:t xml:space="preserve">לתרחיש יש גם המשך שקט. אחרי עונה של סירובים מפנה העמותה את משאיותיה לרשתות השיווק, ששם הכללים ברורים ומוצרים ארוזים אינם דורשים אישור פרטני. יעד ההצלה הלאומי מתמלא לכאורה, אך רק בפלח הקל, ואילו המזון המבושל, הנתח הגדול באולמות ובמטבחים המוסדיים, נשאר מחוץ לתמונה. התוכנית לא נכשלה רשמית; היא הצטמצמה בשקט למה שהמנגנון הקיים יודע לעכל.</w:t>
      </w:r>
    </w:p>
    <w:p>
      <w:pPr>
        <w:bidi/>
        <w:spacing w:after="40" w:before="100" w:line="360"/>
        <w:jc w:val="both"/>
      </w:pPr>
      <w:r>
        <w:rPr>
          <w:rFonts w:ascii="David" w:cs="David" w:eastAsia="David" w:hAnsi="David"/>
          <w:b/>
          <w:bCs/>
          <w:sz w:val="24"/>
          <w:szCs w:val="24"/>
          <w:rtl/>
        </w:rPr>
        <w:t xml:space="preserve">3. מה למדתי על יישום ועל שותפות</w:t>
      </w:r>
    </w:p>
    <w:p>
      <w:pPr>
        <w:bidi/>
        <w:spacing w:after="60" w:line="360"/>
        <w:jc w:val="both"/>
      </w:pPr>
      <w:r>
        <w:rPr>
          <w:rFonts w:ascii="David" w:cs="David" w:eastAsia="David" w:hAnsi="David"/>
          <w:sz w:val="24"/>
          <w:szCs w:val="24"/>
          <w:rtl/>
        </w:rPr>
        <w:t xml:space="preserve">מסמך התרגיל מציב את שלב היישום כשאלה העומדת במוקד (נספח, ציטוט 4). פרסמן ווילדבסקי (</w:t>
      </w:r>
      <w:r>
        <w:rPr>
          <w:rFonts w:ascii="Times New Roman" w:cs="Times New Roman" w:eastAsia="Times New Roman" w:hAnsi="Times New Roman"/>
          <w:sz w:val="24"/>
          <w:szCs w:val="24"/>
        </w:rPr>
        <w:t xml:space="preserve">Pressman &amp; Wildavsky, 1984</w:t>
      </w:r>
      <w:r>
        <w:rPr>
          <w:rFonts w:ascii="David" w:cs="David" w:eastAsia="David" w:hAnsi="David"/>
          <w:sz w:val="24"/>
          <w:szCs w:val="24"/>
          <w:rtl/>
        </w:rPr>
        <w:t xml:space="preserve">) הראו שכישלון יישום אינו מחייב מתנגדים: די בשרשרת ארוכה של נקודות הסכמה, שבכל אחת מהן ההסתברות לעיכוב קטנה, כדי שהמכפלה הכוללת תהיה גדולה. התרחיש שכתבתי הוא מכפלה כזאת בזעיר אנפין: אולם, עמותה, מפקח, שני משרדים. בארדך (</w:t>
      </w:r>
      <w:r>
        <w:rPr>
          <w:rFonts w:ascii="Times New Roman" w:cs="Times New Roman" w:eastAsia="Times New Roman" w:hAnsi="Times New Roman"/>
          <w:sz w:val="24"/>
          <w:szCs w:val="24"/>
        </w:rPr>
        <w:t xml:space="preserve">Bardach, 1977</w:t>
      </w:r>
      <w:r>
        <w:rPr>
          <w:rFonts w:ascii="David" w:cs="David" w:eastAsia="David" w:hAnsi="David"/>
          <w:sz w:val="24"/>
          <w:szCs w:val="24"/>
          <w:rtl/>
        </w:rPr>
        <w:t xml:space="preserve">) חידד את התמונה כשתיאר את היישום כסדרת משחקים, שבהם כל שחקן ממשיך לשחק לפי לוח התוצאות שלו גם אחרי שהמדיניות הוכרזה, וזה בדיוק מה שעושים שני המשרדים ומנהל המטבח בתרחיש. ליפסקי (</w:t>
      </w:r>
      <w:r>
        <w:rPr>
          <w:rFonts w:ascii="Times New Roman" w:cs="Times New Roman" w:eastAsia="Times New Roman" w:hAnsi="Times New Roman"/>
          <w:sz w:val="24"/>
          <w:szCs w:val="24"/>
        </w:rPr>
        <w:t xml:space="preserve">Lipsky, 2010</w:t>
      </w:r>
      <w:r>
        <w:rPr>
          <w:rFonts w:ascii="David" w:cs="David" w:eastAsia="David" w:hAnsi="David"/>
          <w:sz w:val="24"/>
          <w:szCs w:val="24"/>
          <w:rtl/>
        </w:rPr>
        <w:t xml:space="preserve">) הוסיף עבורי את הזווית השנייה: המדיניות בפועל נקבעת בידי עובדי הקצה, מנהל המטבח והמפקח, שמפעילים שיקול דעת בתנאי עמימות ובוחרים תמיד את הבחירה שמגינה עליהם. הלקחים נפגשים בתובנה אחת על שותפות: השתתפות בגיבוש אינה ערובה לשותפות ביישום. שני המשרדים מופיעים ברשימת השותפים לתוכנית (נספח, ציטוט 2), ובכל זאת התפר ביניהם נותר ללא בעלים. שותפות אמיתית אינה רשימת משתתפים במסמך, אלא בעלות מוגדרת על התפרים שבין הגופים, כולל מי נושא בחבות כשמשהו משתבש. זה חיבר באופן חד את שנלמד בקורסי המדיניות בתואר לשאלה מעשית אחת: לא מה כתוב בתוכנית, אלא מי מחזיק בה בשעה אחת בלילה, כשהיא פוגשת את השטח.</w:t>
      </w:r>
    </w:p>
    <w:p>
      <w:r>
        <w:br w:type="page"/>
      </w:r>
    </w:p>
    <w:p>
      <w:pPr>
        <w:bidi/>
        <w:spacing w:after="120" w:line="480"/>
        <w:jc w:val="center"/>
      </w:pPr>
      <w:r>
        <w:rPr>
          <w:rFonts w:ascii="David" w:cs="David" w:eastAsia="David" w:hAnsi="David"/>
          <w:b/>
          <w:bCs/>
          <w:sz w:val="24"/>
          <w:szCs w:val="24"/>
          <w:rtl/>
        </w:rPr>
        <w:t xml:space="preserve">רשימת מקורות</w:t>
      </w:r>
    </w:p>
    <w:p>
      <w:pPr>
        <w:bidi/>
        <w:spacing w:line="480"/>
        <w:ind w:left="709" w:hanging="709"/>
        <w:jc w:val="both"/>
      </w:pPr>
      <w:r>
        <w:rPr>
          <w:rFonts w:ascii="David" w:cs="David" w:eastAsia="David" w:hAnsi="David"/>
          <w:sz w:val="24"/>
          <w:szCs w:val="24"/>
          <w:rtl/>
        </w:rPr>
        <w:t xml:space="preserve">המשרד להגנת הסביבה. (2025). התוכנית הלאומית לצמצום אובדן ובזבוז מזון.</w:t>
      </w:r>
    </w:p>
    <w:p>
      <w:pPr>
        <w:bidi/>
        <w:spacing w:line="480"/>
        <w:ind w:left="709" w:hanging="709"/>
        <w:jc w:val="both"/>
      </w:pPr>
      <w:r>
        <w:rPr>
          <w:rFonts w:ascii="David" w:cs="David" w:eastAsia="David" w:hAnsi="David"/>
          <w:sz w:val="24"/>
          <w:szCs w:val="24"/>
          <w:rtl/>
        </w:rPr>
        <w:t xml:space="preserve">לקט ישראל. (2024). הדוח הלאומי 2024: אובדן מזון והצלת מזון בישראל, דוח העשור.</w:t>
      </w:r>
    </w:p>
    <w:p>
      <w:pPr>
        <w:bidi/>
        <w:spacing w:line="480"/>
        <w:ind w:left="709" w:hanging="709"/>
        <w:jc w:val="both"/>
      </w:pPr>
      <w:r>
        <w:rPr>
          <w:rFonts w:ascii="David" w:cs="David" w:eastAsia="David" w:hAnsi="David"/>
          <w:sz w:val="24"/>
          <w:szCs w:val="24"/>
          <w:rtl/>
        </w:rPr>
        <w:t xml:space="preserve">משרד הבריאות. (2026). מידע והנחיות בנושא מזון לעוסקים במזון.</w:t>
      </w:r>
    </w:p>
    <w:p>
      <w:pPr>
        <w:bidi/>
        <w:spacing w:line="480"/>
        <w:ind w:left="709" w:hanging="709"/>
        <w:jc w:val="both"/>
      </w:pPr>
      <w:r>
        <w:rPr>
          <w:rFonts w:ascii="David" w:cs="David" w:eastAsia="David" w:hAnsi="David"/>
          <w:sz w:val="24"/>
          <w:szCs w:val="24"/>
          <w:rtl/>
        </w:rPr>
        <w:t xml:space="preserve">משרד החקלאות וביטחון המזון. (2025). טיוטת התוכנית הלאומית לביטחון מזון 2050-2025.</w:t>
      </w:r>
    </w:p>
    <w:p>
      <w:pPr>
        <w:spacing w:line="480"/>
        <w:ind w:left="709" w:hanging="709"/>
        <w:jc w:val="left"/>
      </w:pPr>
      <w:r>
        <w:rPr>
          <w:rFonts w:ascii="Times New Roman" w:cs="Times New Roman" w:eastAsia="Times New Roman" w:hAnsi="Times New Roman"/>
          <w:sz w:val="24"/>
          <w:szCs w:val="24"/>
        </w:rPr>
        <w:t xml:space="preserve">Bardach, E. (1977). </w:t>
      </w:r>
      <w:r>
        <w:rPr>
          <w:rFonts w:ascii="Times New Roman" w:cs="Times New Roman" w:eastAsia="Times New Roman" w:hAnsi="Times New Roman"/>
          <w:i/>
          <w:iCs/>
          <w:sz w:val="24"/>
          <w:szCs w:val="24"/>
        </w:rPr>
        <w:t xml:space="preserve">The implementation game: What happens after a bill becomes a law</w:t>
      </w:r>
      <w:r>
        <w:rPr>
          <w:rFonts w:ascii="Times New Roman" w:cs="Times New Roman" w:eastAsia="Times New Roman" w:hAnsi="Times New Roman"/>
          <w:sz w:val="24"/>
          <w:szCs w:val="24"/>
        </w:rPr>
        <w:t xml:space="preserve">. MIT Press.</w:t>
      </w:r>
    </w:p>
    <w:p>
      <w:pPr>
        <w:spacing w:line="480"/>
        <w:ind w:left="709" w:hanging="709"/>
        <w:jc w:val="left"/>
      </w:pPr>
      <w:r>
        <w:rPr>
          <w:rFonts w:ascii="Times New Roman" w:cs="Times New Roman" w:eastAsia="Times New Roman" w:hAnsi="Times New Roman"/>
          <w:sz w:val="24"/>
          <w:szCs w:val="24"/>
        </w:rPr>
        <w:t xml:space="preserve">Lipsky, M. (2010). </w:t>
      </w:r>
      <w:r>
        <w:rPr>
          <w:rFonts w:ascii="Times New Roman" w:cs="Times New Roman" w:eastAsia="Times New Roman" w:hAnsi="Times New Roman"/>
          <w:i/>
          <w:iCs/>
          <w:sz w:val="24"/>
          <w:szCs w:val="24"/>
        </w:rPr>
        <w:t xml:space="preserve">Street-level bureaucracy: Dilemmas of the individual in public services</w:t>
      </w:r>
      <w:r>
        <w:rPr>
          <w:rFonts w:ascii="Times New Roman" w:cs="Times New Roman" w:eastAsia="Times New Roman" w:hAnsi="Times New Roman"/>
          <w:sz w:val="24"/>
          <w:szCs w:val="24"/>
        </w:rPr>
        <w:t xml:space="preserve"> (30th anniversary expanded ed.). Russell Sage Foundation. (Original work published 1980)</w:t>
      </w:r>
    </w:p>
    <w:p>
      <w:pPr>
        <w:spacing w:line="480"/>
        <w:ind w:left="709" w:hanging="709"/>
        <w:jc w:val="left"/>
      </w:pPr>
      <w:r>
        <w:rPr>
          <w:rFonts w:ascii="Times New Roman" w:cs="Times New Roman" w:eastAsia="Times New Roman" w:hAnsi="Times New Roman"/>
          <w:sz w:val="24"/>
          <w:szCs w:val="24"/>
        </w:rPr>
        <w:t xml:space="preserve">Pressman, J. L., &amp; Wildavsky, A. (1984). </w:t>
      </w:r>
      <w:r>
        <w:rPr>
          <w:rFonts w:ascii="Times New Roman" w:cs="Times New Roman" w:eastAsia="Times New Roman" w:hAnsi="Times New Roman"/>
          <w:i/>
          <w:iCs/>
          <w:sz w:val="24"/>
          <w:szCs w:val="24"/>
        </w:rPr>
        <w:t xml:space="preserve">Implementation</w:t>
      </w:r>
      <w:r>
        <w:rPr>
          <w:rFonts w:ascii="Times New Roman" w:cs="Times New Roman" w:eastAsia="Times New Roman" w:hAnsi="Times New Roman"/>
          <w:sz w:val="24"/>
          <w:szCs w:val="24"/>
        </w:rPr>
        <w:t xml:space="preserve"> (3rd ed.). University of California Press.</w:t>
      </w:r>
    </w:p>
    <w:p>
      <w:r>
        <w:br w:type="page"/>
      </w:r>
    </w:p>
    <w:p>
      <w:pPr>
        <w:bidi/>
        <w:spacing w:after="120" w:line="360"/>
        <w:jc w:val="center"/>
      </w:pPr>
      <w:r>
        <w:rPr>
          <w:rFonts w:ascii="David" w:cs="David" w:eastAsia="David" w:hAnsi="David"/>
          <w:b/>
          <w:bCs/>
          <w:sz w:val="24"/>
          <w:szCs w:val="24"/>
          <w:rtl/>
        </w:rPr>
        <w:t xml:space="preserve">נספח: ציטוטים מעגנים מתוך מסמך התרגיל</w:t>
      </w:r>
    </w:p>
    <w:p>
      <w:pPr>
        <w:bidi/>
        <w:spacing w:line="360"/>
        <w:jc w:val="both"/>
      </w:pPr>
      <w:r>
        <w:rPr>
          <w:rFonts w:ascii="David" w:cs="David" w:eastAsia="David" w:hAnsi="David"/>
          <w:b/>
          <w:bCs/>
          <w:sz w:val="24"/>
          <w:szCs w:val="24"/>
          <w:rtl/>
        </w:rPr>
        <w:t xml:space="preserve">ציטוט 1: </w:t>
      </w:r>
      <w:r>
        <w:rPr>
          <w:rFonts w:ascii="David" w:cs="David" w:eastAsia="David" w:hAnsi="David"/>
          <w:sz w:val="24"/>
          <w:szCs w:val="24"/>
          <w:rtl/>
        </w:rPr>
        <w:t xml:space="preserve">"הניחו יחד תשתית ליישום מדיניות כוללת לקידום ביטחון מזון בטווח הקצר והארוך, והציבו עשרה יעדים לאומיים: אספקת מזון רציפה ויציבה, תזונה בריאה ומקיימת, מזון בר-קיימא, ייצור חקלאי מקומי יציב, תעשיית מזון חדשנית ותחרותית, שמירה על הסביבה והיערכות לשינוי האקלים, צמצום אובדן ובזבוז מזון, ייבוא מזון מחושב ומושכל, קידום מו"פ וחדשנות והיגוי מותאם ומבוסס מטרות" (אתר משרד החקלאות, כפי שמובא במסמך התרגיל).</w:t>
      </w:r>
    </w:p>
    <w:p>
      <w:pPr>
        <w:bidi/>
        <w:spacing w:line="360"/>
        <w:jc w:val="both"/>
      </w:pPr>
      <w:r>
        <w:rPr>
          <w:rFonts w:ascii="David" w:cs="David" w:eastAsia="David" w:hAnsi="David"/>
          <w:b/>
          <w:bCs/>
          <w:sz w:val="24"/>
          <w:szCs w:val="24"/>
          <w:rtl/>
        </w:rPr>
        <w:t xml:space="preserve">ציטוט 2: </w:t>
      </w:r>
      <w:r>
        <w:rPr>
          <w:rFonts w:ascii="David" w:cs="David" w:eastAsia="David" w:hAnsi="David"/>
          <w:sz w:val="24"/>
          <w:szCs w:val="24"/>
          <w:rtl/>
        </w:rPr>
        <w:t xml:space="preserve">"התוכנית גובשה בתהליך רב־משרדי ורב־מגזרי רחב היקף, בהובלת משרד החקלאות וביטחון המזון ובהשתתפות משרדי הכלכלה והתעשייה, הבריאות והגנת הסביבה" (אתר משרד החקלאות, כפי שמובא במסמך התרגיל).</w:t>
      </w:r>
    </w:p>
    <w:p>
      <w:pPr>
        <w:bidi/>
        <w:spacing w:line="360"/>
        <w:jc w:val="both"/>
      </w:pPr>
      <w:r>
        <w:rPr>
          <w:rFonts w:ascii="David" w:cs="David" w:eastAsia="David" w:hAnsi="David"/>
          <w:b/>
          <w:bCs/>
          <w:sz w:val="24"/>
          <w:szCs w:val="24"/>
          <w:rtl/>
        </w:rPr>
        <w:t xml:space="preserve">ציטוט 3: </w:t>
      </w:r>
      <w:r>
        <w:rPr>
          <w:rFonts w:ascii="David" w:cs="David" w:eastAsia="David" w:hAnsi="David"/>
          <w:sz w:val="24"/>
          <w:szCs w:val="24"/>
          <w:rtl/>
        </w:rPr>
        <w:t xml:space="preserve">"וכלה באיומים מתמשכים כגון גידול אוכלוסייה, שחיקה במשאבי קרקע ומים, שינויי אקלים, בזבוז ואובדן מזון ושינויים בהרגלי הצריכה" (אתר משרד החקלאות, כפי שמובא במסמך התרגיל).</w:t>
      </w:r>
    </w:p>
    <w:p>
      <w:pPr>
        <w:bidi/>
        <w:spacing w:line="360"/>
        <w:jc w:val="both"/>
      </w:pPr>
      <w:r>
        <w:rPr>
          <w:rFonts w:ascii="David" w:cs="David" w:eastAsia="David" w:hAnsi="David"/>
          <w:b/>
          <w:bCs/>
          <w:sz w:val="24"/>
          <w:szCs w:val="24"/>
          <w:rtl/>
        </w:rPr>
        <w:t xml:space="preserve">ציטוט 4: </w:t>
      </w:r>
      <w:r>
        <w:rPr>
          <w:rFonts w:ascii="David" w:cs="David" w:eastAsia="David" w:hAnsi="David"/>
          <w:sz w:val="24"/>
          <w:szCs w:val="24"/>
          <w:rtl/>
        </w:rPr>
        <w:t xml:space="preserve">"כיצד ניתן לעצב ולנהל את שלב היישום של התוכנית כך שיבטיח מימוש מיטבי של יעדיה וערכים בתחום ביטחון המזון?" (מסמך התרגיל, המחלקה למינהל ומדיניות ציבורית, מכללת ספיר).</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2026-08-23T21:04:10.931Z</dcterms:created>
  <dcterms:modified xsi:type="dcterms:W3CDTF">2026-08-23T21:04:10.946Z</dcterms:modified>
</cp:coreProperties>
</file>

<file path=docProps/custom.xml><?xml version="1.0" encoding="utf-8"?>
<Properties xmlns="http://schemas.openxmlformats.org/officeDocument/2006/custom-properties" xmlns:vt="http://schemas.openxmlformats.org/officeDocument/2006/docPropsVTypes"/>
</file>