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0"/>
        <w:jc w:val="center"/>
        <w:bidi w:val="1"/>
      </w:pPr>
      <w:r>
        <w:rPr>
          <w:rFonts w:ascii="David" w:hAnsi="David" w:cs="David"/>
          <w:b/>
          <w:bCs/>
          <w:sz w:val="28"/>
          <w:szCs w:val="28"/>
          <w:rtl w:val="1"/>
        </w:rPr>
        <w:t>עבודה מסכמת בקורס “נוער בסיכון: נושאים מתקדמים”</w:t>
      </w:r>
    </w:p>
    <w:p>
      <w:pPr>
        <w:spacing w:line="360" w:lineRule="auto" w:before="0" w:after="40"/>
        <w:jc w:val="center"/>
        <w:bidi w:val="1"/>
      </w:pPr>
      <w:r>
        <w:rPr>
          <w:rFonts w:ascii="David" w:hAnsi="David" w:cs="David"/>
          <w:sz w:val="24"/>
          <w:szCs w:val="24"/>
          <w:rtl w:val="1"/>
        </w:rPr>
        <w:t>מרצה: אתי אנשל  |  סמסטר ב′, תשפ“ו</w:t>
      </w:r>
    </w:p>
    <w:p>
      <w:pPr>
        <w:spacing w:line="360" w:lineRule="auto" w:before="0" w:after="40"/>
        <w:jc w:val="center"/>
        <w:bidi w:val="1"/>
      </w:pPr>
      <w:r>
        <w:rPr>
          <w:rFonts w:ascii="David" w:hAnsi="David" w:cs="David"/>
          <w:sz w:val="24"/>
          <w:szCs w:val="24"/>
          <w:rtl w:val="1"/>
        </w:rPr>
        <w:t>הסרט: “מורה לחיים” (The Ron Clark Story)</w:t>
      </w:r>
    </w:p>
    <w:p>
      <w:pPr>
        <w:spacing w:line="360" w:lineRule="auto" w:before="0" w:after="200"/>
        <w:jc w:val="center"/>
        <w:bidi w:val="1"/>
      </w:pPr>
      <w:r>
        <w:rPr>
          <w:rFonts w:ascii="David" w:hAnsi="David" w:cs="David"/>
          <w:sz w:val="24"/>
          <w:szCs w:val="24"/>
          <w:rtl w:val="1"/>
        </w:rPr>
        <w:t>שם: ______________    ת“ז: ______________</w:t>
      </w:r>
    </w:p>
    <w:p>
      <w:pPr>
        <w:spacing w:line="360" w:lineRule="auto" w:before="160" w:after="80"/>
        <w:jc w:val="right"/>
        <w:bidi w:val="1"/>
      </w:pPr>
      <w:r>
        <w:rPr>
          <w:rFonts w:ascii="David" w:hAnsi="David" w:cs="David"/>
          <w:b/>
          <w:bCs/>
          <w:sz w:val="26"/>
          <w:szCs w:val="26"/>
          <w:rtl w:val="1"/>
        </w:rPr>
        <w:t>שאלה 1 – טיישון מיטשל: מופע התנהגותי וקריאתו דרך תאוריות יחסי אובייקט</w:t>
      </w:r>
    </w:p>
    <w:p>
      <w:pPr>
        <w:spacing w:line="360" w:lineRule="auto" w:before="0" w:after="80"/>
        <w:jc w:val="right"/>
        <w:bidi w:val="1"/>
      </w:pPr>
      <w:r>
        <w:rPr>
          <w:rFonts w:ascii="David" w:hAnsi="David" w:cs="David"/>
          <w:b/>
          <w:bCs/>
          <w:sz w:val="24"/>
          <w:szCs w:val="24"/>
          <w:rtl w:val="1"/>
        </w:rPr>
        <w:t>(הדמות שבחרתי: טיישון)</w:t>
      </w:r>
    </w:p>
    <w:p>
      <w:pPr>
        <w:spacing w:line="360" w:lineRule="auto" w:before="0" w:after="120"/>
        <w:jc w:val="both"/>
        <w:bidi w:val="1"/>
      </w:pPr>
      <w:r>
        <w:rPr>
          <w:rFonts w:ascii="David" w:hAnsi="David" w:cs="David"/>
          <w:b/>
          <w:bCs/>
          <w:sz w:val="24"/>
          <w:szCs w:val="24"/>
          <w:rtl w:val="1"/>
        </w:rPr>
        <w:t xml:space="preserve">א. </w:t>
      </w:r>
      <w:r>
        <w:rPr>
          <w:rFonts w:ascii="David" w:hAnsi="David" w:cs="David"/>
          <w:sz w:val="24"/>
          <w:szCs w:val="24"/>
          <w:rtl w:val="1"/>
        </w:rPr>
        <w:t>בפרק “התנהגות כשפה” טוענים ביבי, אורן-צ′יפמן ובלנרו-אדיב שההתנהגות היא שפה, ומופע התנהגותי הוא הדרך שבה ילד מראה לעולם את מה שאין לו מילים לומר. כשנחסמת היכולת להמשיג ולהסביר, הילד “מתנהג את מצוקתו” במקום לספר אותה. המופע קיים משום שאצל ילדים שנשאו פגיעה ראשונית, סביבה שלא הצליחה לווסת אותם בראשית חייהם, לא נבנו מנגנוני ויסות וארגון עצמי, והחרדה, עד כדי חרדת כיליון, נותרת מציפה ובלתי מוכלת. לכן המופע הוא בעת ובעונה אחת פורקן של דחף לא מעובד וניסיון נואש לתקשר. מבין מופעי ההתנהגות אפשר למנות חרדה, פחד מקרבה, עצב וריקנות, מחשבה שאינה נחשבת, והרס וכיליון, ואצל האחד תתפרץ תוקפנות בעוד אצל האחר תופיע שקיעה ודכדוך. מה עלינו לעשות? לא להיבהל ולא לפעול מתוך העלבון, אלא להתכוונן אל המופע, לחפש את הסיפור שמתחתיו ולהחזיק אותו עבור הילד עד שנוכל להשיב לו אותו במילים (ביבי ואח′, 2016; פונגי, אלן וביטמן, 2008).</w:t>
      </w:r>
    </w:p>
    <w:p>
      <w:pPr>
        <w:spacing w:line="360" w:lineRule="auto" w:before="0" w:after="120"/>
        <w:jc w:val="both"/>
        <w:bidi w:val="1"/>
      </w:pPr>
      <w:r>
        <w:rPr>
          <w:rFonts w:ascii="David" w:hAnsi="David" w:cs="David"/>
          <w:b/>
          <w:bCs/>
          <w:sz w:val="24"/>
          <w:szCs w:val="24"/>
          <w:rtl w:val="1"/>
        </w:rPr>
        <w:t xml:space="preserve">ב. </w:t>
      </w:r>
      <w:r>
        <w:rPr>
          <w:rFonts w:ascii="David" w:hAnsi="David" w:cs="David"/>
          <w:sz w:val="24"/>
          <w:szCs w:val="24"/>
          <w:rtl w:val="1"/>
        </w:rPr>
        <w:t>המופע הבולט של טיישון הוא “הרס וכיליון”. תוקפנות שלא עברה עידון וויסות הופכת להרסנות, מתוך תחושה שאין לו מה להפסיד. בימים הראשונים קלארק חוזר לכיתה מחוללת ומושחתת, וטיישון מודה בגאווה שהוא זה שעשה זאת (17:59–19:41). עוד קודם הוא מתגרה “תשעה אותי” (16:41), ובהמשך מסרב לכתוב ביומן החלומות, מתחצף ומאיים לעזוב, אף שכבר יש לו שני “סטרייקים” (31:44, 33:34). הגורמים שהובילו לכך ברורים מרקע הדמות: טיישון חי במשפחת אומנה, שלושה חודשים בעיר בלי שראה בה דבר, ילד שכבר תויג ומצוי בדרך למעצר נוער. מורה חדש שדורש קרבה וכללים נחווה כאיום קיומי, והתגובה היא זו של Fight, תקיפה. תגובות הסביבה הזינו את ההסלמה: המנהל טרנר נאחז בכללים ומוכן לסלק, מורים קודמים כבר ויתרו (הכיתה החליפה שישה מורים), וההורה האומן מוותר עליו בשימוע (59:23). התוצאה היא שימוע סילוק שהיה מדרדר אותו אל הרחוב, אלא שקלארק מסרב להגיב באותו מטבע, מחזיק את הגבול ברוגע ונלחם נגד הסילוק. וכך המופע, שנועד להרחיק, דווקא מזמן קרבה.</w:t>
      </w:r>
    </w:p>
    <w:p>
      <w:pPr>
        <w:spacing w:line="360" w:lineRule="auto" w:before="0" w:after="120"/>
        <w:jc w:val="both"/>
        <w:bidi w:val="1"/>
      </w:pPr>
      <w:r>
        <w:rPr>
          <w:rFonts w:ascii="David" w:hAnsi="David" w:cs="David"/>
          <w:b/>
          <w:bCs/>
          <w:sz w:val="24"/>
          <w:szCs w:val="24"/>
          <w:rtl w:val="1"/>
        </w:rPr>
        <w:t xml:space="preserve">ג. </w:t>
      </w:r>
      <w:r>
        <w:rPr>
          <w:rFonts w:ascii="David" w:hAnsi="David" w:cs="David"/>
          <w:sz w:val="24"/>
          <w:szCs w:val="24"/>
          <w:rtl w:val="1"/>
        </w:rPr>
        <w:t>בעולמה הפנימי של הדמות פועלים יחסי אובייקט מוקדמים של חסך ונטישה. טיישון לא זכה לאם טובה דיה, ונותר בו אותו “חור שחור” של כמיהה לא ממומשת למגע פיזי ונפשי. הוא הפנים אובייקט דוחה ובלתי מהימן (הפנמה והזדהות), והזדהה עם התוקפן, כלומר הפך להיות זה שהורס לפני שיהרסו או ינטשו אותו. בהעברה הוא פוגש בקלארק עוד מבוגר שיעזוב או ינצל אותו, ולכן הוא בוחן אותו, וזהו ביטוי מובהק של פחד מקרבה: משחית, מתריס ומאיים לעזוב, כדי לבדוק אם כשיש למבוגר כוח וקרבה הוא ינצל אותם נגדו. ההרס הזה הוא, במונחי “הרס האובייקט” של ויניקוט, תקיפה של האובייקט המטפל מתוך משאלה שישרוד וימשיך להתקיים עבורו. ההעברה הנגדית גלויה: קלארק מגיע לרגע שפל ואומר למריסה “אני מוותר”, בדיוק הייאוש שהילד מפקיד בו דרך הזדהות השלכתית, כפי שביון מתאר את ההכלה. כשקלארק שורד את ההרס, רואה את עבודות האמנות של טיישון ואומר לו שהן יפהפיות, מתאפשר לראשונה שההרס יוחלף בתלות ובדמעות (1:18:04). מהלך זה עולה בקנה אחד עם ממצאים עדכניים שלפיהם האופן שבו הסביבה משקפת את הנער מעצב את הדימוי העצמי שלו ואת הסתגלותו. נער שמשקפים לו שהוא “לוזר” נושא בתוכו את הדימוי הזה, ומבט אחר מרפה אותו (ויניקוט, 1971; Calheiros et al., 2021).</w:t>
      </w:r>
    </w:p>
    <w:p>
      <w:pPr>
        <w:spacing w:line="360" w:lineRule="auto" w:before="160" w:after="80"/>
        <w:jc w:val="right"/>
        <w:bidi w:val="1"/>
      </w:pPr>
      <w:r>
        <w:rPr>
          <w:rFonts w:ascii="David" w:hAnsi="David" w:cs="David"/>
          <w:b/>
          <w:bCs/>
          <w:sz w:val="26"/>
          <w:szCs w:val="26"/>
          <w:rtl w:val="1"/>
        </w:rPr>
        <w:t>שאלה 2 – אחזקה שלמה: holding ו-handling בקטע של “אתי, אם הבית”</w:t>
      </w:r>
    </w:p>
    <w:p>
      <w:pPr>
        <w:spacing w:line="360" w:lineRule="auto" w:before="0" w:after="120"/>
        <w:jc w:val="both"/>
        <w:bidi w:val="1"/>
      </w:pPr>
      <w:r>
        <w:rPr>
          <w:rFonts w:ascii="David" w:hAnsi="David" w:cs="David"/>
          <w:sz w:val="24"/>
          <w:szCs w:val="24"/>
          <w:rtl w:val="1"/>
        </w:rPr>
        <w:t>בפרק העוסק בהשאלת האימהות מתארים ביבי, אורן-צ′יפמן ובלנרו-אדיב את האחזקה השלמה כצירוף של שני רבדים מן הפונקציות האימהיות שאי אפשר להפריד ביניהם. ה-handling הוא הארגון והניהול הפיזי של הסביבה: ההאכלה, הניקיון, הבגדים, מעקב אחר הגוף וגבולות המציאות שיש להם משמעות התפתחותית. הוא זה שמחבר את הילד לגופו ויוצר “האנשה”. ה-holding הוא ההחזקה הרגשית: נוכחות רציפה ועקבית, אם שחושבת את הילד ומעניקה משמעות לחוויותיו, ומייצרת רציפות, עקביות והמשכיות, ובתוכה “מרחב ביניים” שבו הילד יכול לחקור בידיעה שהאם שם. יחד הם בונים אצל הילד את מה שחסר לו, ביטחון בסיסי, ומתוכו, בהדרגה, יכולת לווסת את עצמו ולהוציא את העצמי האמיתי מהמחבוא, במקום להתגונן דרך עצמי כוזב, בהבחנתו של ויניקוט בין עצמי אמיתי לעצמי כוזב. זהו ההיבט ההתפתחותי: מה שהתחיל כטיפול פיזי חיצוני נעשה עם הזמן מבנה פנימי (ביבי ואח′, 2016; ויניקוט, 1971).</w:t>
      </w:r>
    </w:p>
    <w:p>
      <w:pPr>
        <w:spacing w:line="360" w:lineRule="auto" w:before="0" w:after="120"/>
        <w:jc w:val="both"/>
        <w:bidi w:val="1"/>
      </w:pPr>
      <w:r>
        <w:rPr>
          <w:rFonts w:ascii="David" w:hAnsi="David" w:cs="David"/>
          <w:sz w:val="24"/>
          <w:szCs w:val="24"/>
          <w:rtl w:val="1"/>
        </w:rPr>
        <w:t>בקטע (ראו נספח מסומן בשני צבעים) קל לראות איך אתי נעה בין השניים. דוגמה ל-handling: היא עוקבת אחר משקל וגובה, מודדת חום בכף ידה, דואגת לבגדי חורף, לסדר, לניקיון ולתפריט השבועי, ומסכמת ש“מעולם לא ראיתי אמא שלא מחליפה טיטול רטוב ומלוכלך רק כי הילד לא רוצה”. זהו ניהול קונקרטי של המציאות, של הגוף ושל הגבול. דוגמה ל-holding: לפני שהיא נכנסת היא “מגייסת מתוכי את כל הקולות והצבעים של אמא ובית, מביאה אותם איתי פנימה”, ומסיימת ש“ילדים צריכים להרגיש עטופים בחום”. כאן אין ניהול, יש נוכחות שמעניקה משמעות וחום. שני הסוגים משלימים זה את זה: handling בלי holding נותר טכני ונטול נשמה, ו-holding בלי handling נשאר רגש בלי עוגן במציאות. דווקא השילוב, המרק שהושקע בו עמל יחד עם היכולת לשרוד את הבנות שמפרקות אותו, הוא שמאפשר לילד לחוש מוחזק ולהתפתח (ביבי ואח′, 2016).</w:t>
      </w:r>
    </w:p>
    <w:p>
      <w:pPr>
        <w:spacing w:line="360" w:lineRule="auto" w:before="160" w:after="80"/>
        <w:jc w:val="right"/>
        <w:bidi w:val="1"/>
      </w:pPr>
      <w:r>
        <w:rPr>
          <w:rFonts w:ascii="David" w:hAnsi="David" w:cs="David"/>
          <w:b/>
          <w:bCs/>
          <w:sz w:val="26"/>
          <w:szCs w:val="26"/>
          <w:rtl w:val="1"/>
        </w:rPr>
        <w:t>שאלה 3 – דמות איש הצוות: רון קלארק</w:t>
      </w:r>
    </w:p>
    <w:p>
      <w:pPr>
        <w:spacing w:line="360" w:lineRule="auto" w:before="0" w:after="120"/>
        <w:jc w:val="both"/>
        <w:bidi w:val="1"/>
      </w:pPr>
      <w:r>
        <w:rPr>
          <w:rFonts w:ascii="David" w:hAnsi="David" w:cs="David"/>
          <w:b/>
          <w:bCs/>
          <w:sz w:val="24"/>
          <w:szCs w:val="24"/>
          <w:rtl w:val="1"/>
        </w:rPr>
        <w:t xml:space="preserve">א. </w:t>
      </w:r>
      <w:r>
        <w:rPr>
          <w:rFonts w:ascii="David" w:hAnsi="David" w:cs="David"/>
          <w:sz w:val="24"/>
          <w:szCs w:val="24"/>
          <w:rtl w:val="1"/>
        </w:rPr>
        <w:t>העיקרון המנחה, כפי שמנסחים אותו ביבי, אורן-צ′יפמן ובלנרו-אדיב, הוא לחפש “איש צוות טוב דיו”, אדם שניחן באיכויות אימהיות טבעיות מן הסוג שאם טובה דיה מעניקה לתינוקה, ושמסוגל ומוכן לפתח אותן לכדי יכולות מקצועיות. איננו מחפשים טכניקה, אלא נכונות להשאיל לילד את המקום האימהי המגדל, כלומר “השאלת אימהות” (ביבי ואח′, 2016).</w:t>
      </w:r>
    </w:p>
    <w:p>
      <w:pPr>
        <w:spacing w:line="360" w:lineRule="auto" w:before="0" w:after="120"/>
        <w:jc w:val="both"/>
        <w:bidi w:val="1"/>
      </w:pPr>
      <w:r>
        <w:rPr>
          <w:rFonts w:ascii="David" w:hAnsi="David" w:cs="David"/>
          <w:b/>
          <w:bCs/>
          <w:sz w:val="24"/>
          <w:szCs w:val="24"/>
          <w:rtl w:val="1"/>
        </w:rPr>
        <w:t xml:space="preserve">ב. </w:t>
      </w:r>
      <w:r>
        <w:rPr>
          <w:rFonts w:ascii="David" w:hAnsi="David" w:cs="David"/>
          <w:sz w:val="24"/>
          <w:szCs w:val="24"/>
          <w:rtl w:val="1"/>
        </w:rPr>
        <w:t>המאפיינים המרכזיים הנדרשים מאיש צוות הם ארבע יכולות: יציבות, משניות, משמעותיות והתמסרות. אדגים שלוש מהן דרך דמותו של המורה קלארק, ולכל אחת אביא סיטואציה מהסרט, אסביר כיצד היא מדגימה את המאפיין ואנתח את השפעת ההתנהלות על התלמידים.</w:t>
      </w:r>
    </w:p>
    <w:p>
      <w:pPr>
        <w:spacing w:line="360" w:lineRule="auto" w:before="0" w:after="120"/>
        <w:jc w:val="both"/>
        <w:bidi w:val="1"/>
      </w:pPr>
      <w:r>
        <w:rPr>
          <w:rFonts w:ascii="David" w:hAnsi="David" w:cs="David"/>
          <w:b/>
          <w:bCs/>
          <w:sz w:val="24"/>
          <w:szCs w:val="24"/>
          <w:rtl w:val="1"/>
        </w:rPr>
        <w:t xml:space="preserve">מאפיין ראשון – היכולת ליציבות, בין עמידה לתנועה. </w:t>
      </w:r>
      <w:r>
        <w:rPr>
          <w:rFonts w:ascii="David" w:hAnsi="David" w:cs="David"/>
          <w:sz w:val="24"/>
          <w:szCs w:val="24"/>
          <w:rtl w:val="1"/>
        </w:rPr>
        <w:t>סיטואציה: כשטיישון משחית את הכיתה, קלארק אינו מתפרץ אלא אוסף בשקט את המסטיקים לצנצנת ומעמיד את הכללים בלי להתערער (17:59), ובמקביל הוא גמיש ויצירתי, מלמד דקדוק דרך משחק השוקו, מצטרף לקפיצה בחבל וכותב “ראפ הנשיאים”. כיצד זה מדגים את המאפיין: זוהי היכולת ליציבות שבין עמידה לתנועה, עמדה פנימית ברורה ועקבית לצד גמישות והתאמה, בלי “הליכה אל הקצוות”, והצבת הגבול כאן היא “גבול כנתינה” ו“מעשה של אהבה”, לא שרירות. השפעה על התלמידים: מעבר מכאוס למבנה, סדר יום ורצף שמייצרים מרחב בטוח עם עוגנים ומחזקים אצלם את ה′אני′ (ביבי ואח′, 2016).</w:t>
      </w:r>
    </w:p>
    <w:p>
      <w:pPr>
        <w:spacing w:line="360" w:lineRule="auto" w:before="0" w:after="120"/>
        <w:jc w:val="both"/>
        <w:bidi w:val="1"/>
      </w:pPr>
      <w:r>
        <w:rPr>
          <w:rFonts w:ascii="David" w:hAnsi="David" w:cs="David"/>
          <w:b/>
          <w:bCs/>
          <w:sz w:val="24"/>
          <w:szCs w:val="24"/>
          <w:rtl w:val="1"/>
        </w:rPr>
        <w:t xml:space="preserve">מאפיין שני – היכולת להיות משמעותי ולשאת תלות. </w:t>
      </w:r>
      <w:r>
        <w:rPr>
          <w:rFonts w:ascii="David" w:hAnsi="David" w:cs="David"/>
          <w:sz w:val="24"/>
          <w:szCs w:val="24"/>
          <w:rtl w:val="1"/>
        </w:rPr>
        <w:t>סיטואציה: קלארק מחלק לתלמידים את מספר הטלפון שלו וזמין 24/7 (1:00:21), ומכריז מהיום הראשון “אנחנו נהיה משפחה”. כיצד זה מדגים את המאפיין: הוא מסכים להיות מוקד מכריע בחייהם, דמות שאליה מפנים תלות ואמון, ופועל כ“מדריך משקף” שהמבט שלו הוא המראה שדרכה הם רואים את עצמם. השפעה על התלמידים: הם מקבלים “ביטחון מורגש” ש“מישהו שומר עליהם”, חשים שהם שווים את המאמץ, והדימוי העצמי שלהם משתנה מ“לוזרים” לילדים מסוגלים (Calheiros et al., 2021).</w:t>
      </w:r>
    </w:p>
    <w:p>
      <w:pPr>
        <w:spacing w:line="360" w:lineRule="auto" w:before="0" w:after="120"/>
        <w:jc w:val="both"/>
        <w:bidi w:val="1"/>
      </w:pPr>
      <w:r>
        <w:rPr>
          <w:rFonts w:ascii="David" w:hAnsi="David" w:cs="David"/>
          <w:b/>
          <w:bCs/>
          <w:sz w:val="24"/>
          <w:szCs w:val="24"/>
          <w:rtl w:val="1"/>
        </w:rPr>
        <w:t xml:space="preserve">מאפיין שלישי – היכולת להתמסר, הבחירה להעניק. </w:t>
      </w:r>
      <w:r>
        <w:rPr>
          <w:rFonts w:ascii="David" w:hAnsi="David" w:cs="David"/>
          <w:sz w:val="24"/>
          <w:szCs w:val="24"/>
          <w:rtl w:val="1"/>
        </w:rPr>
        <w:t>סיטואציה: גם כשהוא חולה בדלקת ריאות קלארק מצלם את השיעורים מהמיטה ארבע שעות ביום עד שהוא מתמוטט (1:03:58), ונאבק נגד סילוקו של טיישון כשההורה האומן כבר ויתר עליו (59:23). כיצד זה מדגים את המאפיין: זו מסירות מתוך בחירה ואהבה שאינה מבקשת תמורה, ולצידה היכולת להיות משני, להשהות את צרכיו ולמקם את הילד במרכז. השפעה על התלמידים: דווקא העובדה שהוא שורד את ההרס ואת הדחייה ולא נשבר היא שמאפשרת להם בסופו של דבר לבטוח ולאהוב (ויניקוט, 1971).</w:t>
      </w:r>
    </w:p>
    <w:p>
      <w:pPr>
        <w:spacing w:line="360" w:lineRule="auto" w:before="0" w:after="120"/>
        <w:jc w:val="both"/>
        <w:bidi w:val="1"/>
      </w:pPr>
      <w:r>
        <w:rPr>
          <w:rFonts w:ascii="David" w:hAnsi="David" w:cs="David"/>
          <w:b/>
          <w:bCs/>
          <w:sz w:val="24"/>
          <w:szCs w:val="24"/>
          <w:rtl w:val="1"/>
        </w:rPr>
        <w:t xml:space="preserve">ג. ומה אתי? (רפלקציה אישית). </w:t>
      </w:r>
      <w:r>
        <w:rPr>
          <w:rFonts w:ascii="David" w:hAnsi="David" w:cs="David"/>
          <w:sz w:val="24"/>
          <w:szCs w:val="24"/>
          <w:rtl w:val="1"/>
        </w:rPr>
        <w:t>[חלק זה יש להתאים אישית] המאפיין שאני מרגישה שקיים בי הוא היכולת ליציבות. גם כשמולי נער סוער אני מצליחה לרוב להחזיק את הגבול בלי להתפרק ובלי להיסחף למאבק כוחות, ולזכור שהגבול קיים גם כשהנער לא מצליח לעמוד בו. עם זאת, ככל שאני מתבוננת בעצמי אני מבחינה שהיציבות הזאת לא תמיד מגיעה ממקום רגוע. לפעמים היא באה לי דווקא מתוך צורך לשלוט, ואני לומדת להבדיל בין יציבות שנשענת על עמדה פנימית שקטה לבין קשיחות שמתחפשת לרוגע. האתגר שלי הוא לשמור על הקוטב השני, על התנועה והגמישות, בלי ליפול ל“הליכה אל הקצוות”. המאפיין שחסר לי, לפחות חלקית, הוא היכולת לשאת תלות ולהיות משמעותית. יש בי חשש אמיתי להיות הדמות שאליה נער מפנה תלות מוחלטת, ולא פעם אני מגלה שאני נסוגה אל ה-handling, אל המשימות והארגון, בדיוק ברגעים שבהם נדרשת ממני נוכחות רגשית מחזיקה. קל לי יותר לדאוג לסדר מאשר להישאר בתוך המפגש הרגשי עצמו. אני חושבת שזה קשור גם לצורך שלי בתגמול חיצוני, בהכרה ובתודה, בעוד שבעבודה עם נוער בסיכון התגמול הוא לרוב פנימי, ולעיתים אין תמורה כלל. אני גם מזהה בי מדי פעם את פנטזיית ההצלה, המשאלה להיות זו שתרפא, ואת האכזבה שמציפה אותי כשהנער דוחה דווקא את הקרבה שהצעתי. כדי לפתח את היכולת הזאת אני מבינה שאני עצמי זקוקה להיות מוחזקת, לסביבה יציבה ולהדרכה שתאפשר לי לעבד את מה שהמפגש מעורר בי (ביבי ואח′, 2016).</w:t>
      </w:r>
    </w:p>
    <w:p>
      <w:pPr>
        <w:spacing w:line="360" w:lineRule="auto" w:before="160" w:after="80"/>
        <w:jc w:val="right"/>
        <w:bidi w:val="1"/>
      </w:pPr>
      <w:r>
        <w:rPr>
          <w:rFonts w:ascii="David" w:hAnsi="David" w:cs="David"/>
          <w:b/>
          <w:bCs/>
          <w:sz w:val="26"/>
          <w:szCs w:val="26"/>
          <w:rtl w:val="1"/>
        </w:rPr>
        <w:t>שאלה 4 – שאלת רפלקציה</w:t>
      </w:r>
    </w:p>
    <w:p>
      <w:pPr>
        <w:spacing w:line="360" w:lineRule="auto" w:before="0" w:after="80"/>
        <w:jc w:val="right"/>
        <w:bidi w:val="1"/>
      </w:pPr>
      <w:r>
        <w:rPr>
          <w:rFonts w:ascii="David" w:hAnsi="David" w:cs="David"/>
          <w:b/>
          <w:bCs/>
          <w:sz w:val="22"/>
          <w:szCs w:val="22"/>
          <w:rtl w:val="1"/>
        </w:rPr>
        <w:t>[חלק זה יש להתאים אישית] בעקבות שלוש השאלות של אתי אברמוביץ, מה שהפתיע אותי, נגע לליבי והשפיע עליי במהלך הקורס.</w:t>
      </w:r>
    </w:p>
    <w:p>
      <w:pPr>
        <w:spacing w:line="360" w:lineRule="auto" w:before="0" w:after="120"/>
        <w:jc w:val="both"/>
        <w:bidi w:val="1"/>
      </w:pPr>
      <w:r>
        <w:rPr>
          <w:rFonts w:ascii="David" w:hAnsi="David" w:cs="David"/>
          <w:b/>
          <w:bCs/>
          <w:sz w:val="24"/>
          <w:szCs w:val="24"/>
          <w:rtl w:val="1"/>
        </w:rPr>
        <w:t xml:space="preserve">א. </w:t>
      </w:r>
      <w:r>
        <w:rPr>
          <w:rFonts w:ascii="David" w:hAnsi="David" w:cs="David"/>
          <w:b/>
          <w:bCs/>
          <w:sz w:val="24"/>
          <w:szCs w:val="24"/>
          <w:rtl w:val="1"/>
        </w:rPr>
        <w:t xml:space="preserve">מה שחידש לי. </w:t>
      </w:r>
      <w:r>
        <w:rPr>
          <w:rFonts w:ascii="David" w:hAnsi="David" w:cs="David"/>
          <w:sz w:val="24"/>
          <w:szCs w:val="24"/>
          <w:rtl w:val="1"/>
        </w:rPr>
        <w:t>ברמה התיאורטית, מה שחידש והפתיע אותי יותר מכול הוא התפיסה ש“התנהגות היא שפה”. עד הקורס נטיתי לראות התפרצות, חוצפה או הרס כ“בעיית משמעת” שיש לעצור, והיום אני שומעת מתחתם שאלה אחרת: מה הנער מנסה לספר, ואיזה חוסר מוקדם מדבר דרך ההתנהגות. במיוחד נגע בי הרעיון שההרס הוא לעיתים מבחן של הישרדות, שהנער תוקף כדי לבדוק אם אשרוד ואשאר, ושאם אעמוד בזה בלי להישבר ובלי להיעלב, דווקא אז תיפתח האפשרות לקרבה. ברמה האישית, מה שנגע לליבי הוא ההבנה עד כמה התגובות שלי לנערים נובעות מיחסי האובייקט המוקדמים שלי עצמי, ושהכעס או חוסר האונים שעולים בי במפגש אינם רק שלי, אלא לעיתים הזדהות השלכתית, מסר על עולמו הפנימי של הנער. דוגמה קונקרטית לשינוי תפיסה: מול נער שהתפרץ עליי בעבר הייתי מגיבה מיד בגבול ובעונש, מתוך העלבון; היום הייתי מנסה קודם להתכוונן ולהכיל, לזהות את החרדה שמתחת לזעם, ורק אז להציב גבול, לא כענישה אלא כמעשה מיטיב.</w:t>
      </w:r>
    </w:p>
    <w:p>
      <w:pPr>
        <w:spacing w:line="360" w:lineRule="auto" w:before="0" w:after="120"/>
        <w:jc w:val="both"/>
        <w:bidi w:val="1"/>
      </w:pPr>
      <w:r>
        <w:rPr>
          <w:rFonts w:ascii="David" w:hAnsi="David" w:cs="David"/>
          <w:b/>
          <w:bCs/>
          <w:sz w:val="24"/>
          <w:szCs w:val="24"/>
          <w:rtl w:val="1"/>
        </w:rPr>
        <w:t xml:space="preserve">ב. </w:t>
      </w:r>
      <w:r>
        <w:rPr>
          <w:rFonts w:ascii="David" w:hAnsi="David" w:cs="David"/>
          <w:b/>
          <w:bCs/>
          <w:sz w:val="24"/>
          <w:szCs w:val="24"/>
          <w:rtl w:val="1"/>
        </w:rPr>
        <w:t xml:space="preserve">הקשר בין התיאוריה לפרקטיקה. </w:t>
      </w:r>
      <w:r>
        <w:rPr>
          <w:rFonts w:ascii="David" w:hAnsi="David" w:cs="David"/>
          <w:sz w:val="24"/>
          <w:szCs w:val="24"/>
          <w:rtl w:val="1"/>
        </w:rPr>
        <w:t>הקשר בין התיאוריה לפרקטיקה נעשה עבורי מוחשי מאוד. השגרה, סדר היום והגבולות, שנראו לי פעם טכניים, מובנים לי היום כ-handling וכ-holding, כמעטפת שמעניקה לנער רציפות וביטחון, ולא כ“רעש במערכת”. אני מקשיבה אחרת גם להעברה הנגדית שלי: הרגש שמתעורר בי במפגש הפך לכלי, לרוורי שדרכו אני מנסה להבין מה הנער מפקיד בי, ומתי אני נשאבת לפנטזיית הצלה במקום פשוט לשרוד ולהישאר נוכחת. ההבנה שהמרחב עצמו, הקשר היומיומי, הוא הכלי הטיפולי המרכזי, שינתה את האופן שבו אני רואה את מה שאני עושה בכל יום.</w:t>
      </w:r>
    </w:p>
    <w:p>
      <w:pPr>
        <w:spacing w:line="360" w:lineRule="auto" w:before="0" w:after="120"/>
        <w:jc w:val="both"/>
        <w:bidi w:val="1"/>
      </w:pPr>
      <w:r>
        <w:rPr>
          <w:rFonts w:ascii="David" w:hAnsi="David" w:cs="David"/>
          <w:b/>
          <w:bCs/>
          <w:sz w:val="24"/>
          <w:szCs w:val="24"/>
          <w:rtl w:val="1"/>
        </w:rPr>
        <w:t xml:space="preserve">ג. </w:t>
      </w:r>
      <w:r>
        <w:rPr>
          <w:rFonts w:ascii="David" w:hAnsi="David" w:cs="David"/>
          <w:b/>
          <w:bCs/>
          <w:sz w:val="24"/>
          <w:szCs w:val="24"/>
          <w:rtl w:val="1"/>
        </w:rPr>
        <w:t xml:space="preserve">מה שהיה חסר. </w:t>
      </w:r>
      <w:r>
        <w:rPr>
          <w:rFonts w:ascii="David" w:hAnsi="David" w:cs="David"/>
          <w:sz w:val="24"/>
          <w:szCs w:val="24"/>
          <w:rtl w:val="1"/>
        </w:rPr>
        <w:t>הייתי רוצה שנרחיב בכלים מעשיים לרגעים של הצפה בזמן אמת, כשההכלה שלי מתמלאת והיכולת לחשוב מצטמצמת. הייתי רוצה גם מקום מובנה יותר לעבד את מה שהעבודה מעוררת בנו כאנשי צוות, אולי דרך הדרכה קבוצתית כ-on-going-process, וכן התייחסות רחבה יותר לעבודה עם ההורים ועם המערכת שסביב הנער.</w:t>
      </w:r>
    </w:p>
    <w:p>
      <w:pPr>
        <w:spacing w:line="360" w:lineRule="auto" w:before="0" w:after="120"/>
        <w:jc w:val="both"/>
        <w:bidi w:val="1"/>
      </w:pPr>
      <w:r>
        <w:rPr>
          <w:rFonts w:ascii="David" w:hAnsi="David" w:cs="David"/>
          <w:b/>
          <w:bCs/>
          <w:sz w:val="24"/>
          <w:szCs w:val="24"/>
          <w:rtl w:val="1"/>
        </w:rPr>
        <w:t xml:space="preserve">ד. </w:t>
      </w:r>
      <w:r>
        <w:rPr>
          <w:rFonts w:ascii="David" w:hAnsi="David" w:cs="David"/>
          <w:b/>
          <w:bCs/>
          <w:sz w:val="24"/>
          <w:szCs w:val="24"/>
          <w:rtl w:val="1"/>
        </w:rPr>
        <w:t xml:space="preserve">הערה לסיום. </w:t>
      </w:r>
      <w:r>
        <w:rPr>
          <w:rFonts w:ascii="David" w:hAnsi="David" w:cs="David"/>
          <w:sz w:val="24"/>
          <w:szCs w:val="24"/>
          <w:rtl w:val="1"/>
        </w:rPr>
        <w:t>מה שהשפיע עליי יותר מכול הוא ההבנה שהעבודה הפשוטה והיומיומית היא עצמה הטיפול, ושאיני צריכה להיות גיבורה שמצילה. יש בזה גם ענווה וגם הקלה: איני חייבת לסיים את המלאכה, אך גם איני חופשייה להיבטל ממנה. הקורס נתן לי שפה ומסגרת למה שחלק ממנו כבר עשיתי באינטואיציה, וזה מה שיישאר איתי (ביון, 1962; ביבי ואח′, 2016).</w:t>
      </w:r>
    </w:p>
    <w:p>
      <w:pPr>
        <w:spacing w:line="360" w:lineRule="auto" w:before="160" w:after="80"/>
        <w:jc w:val="right"/>
        <w:bidi w:val="1"/>
      </w:pPr>
      <w:r>
        <w:rPr>
          <w:rFonts w:ascii="David" w:hAnsi="David" w:cs="David"/>
          <w:b/>
          <w:bCs/>
          <w:sz w:val="26"/>
          <w:szCs w:val="26"/>
          <w:rtl w:val="1"/>
        </w:rPr>
        <w:t>רשימת מקורות</w:t>
      </w:r>
    </w:p>
    <w:p>
      <w:pPr>
        <w:spacing w:line="360" w:lineRule="auto" w:before="0" w:after="60"/>
        <w:jc w:val="right"/>
        <w:bidi w:val="1"/>
      </w:pPr>
      <w:r>
        <w:rPr>
          <w:rFonts w:ascii="David" w:hAnsi="David" w:cs="David"/>
          <w:sz w:val="22"/>
          <w:szCs w:val="22"/>
          <w:rtl w:val="1"/>
        </w:rPr>
        <w:t>ביבי, ו′, אורן-צ′יפמן, ת′, ובלנרו-אדיב, ר′ (2016). חיבוק חזק ולא כואב: הטיפול ה′טוב דיו′ בילדים המוצאים מביתם. תל אביב: רסלינג.</w:t>
      </w:r>
    </w:p>
    <w:p>
      <w:pPr>
        <w:spacing w:line="360" w:lineRule="auto" w:before="0" w:after="60"/>
        <w:jc w:val="right"/>
        <w:bidi w:val="1"/>
      </w:pPr>
      <w:r>
        <w:rPr>
          <w:rFonts w:ascii="David" w:hAnsi="David" w:cs="David"/>
          <w:sz w:val="22"/>
          <w:szCs w:val="22"/>
          <w:rtl w:val="1"/>
        </w:rPr>
        <w:t>ביון, ו′ (1962). למידה מן הניסיון.</w:t>
      </w:r>
    </w:p>
    <w:p>
      <w:pPr>
        <w:spacing w:line="360" w:lineRule="auto" w:before="0" w:after="60"/>
        <w:jc w:val="right"/>
        <w:bidi w:val="1"/>
      </w:pPr>
      <w:r>
        <w:rPr>
          <w:rFonts w:ascii="David" w:hAnsi="David" w:cs="David"/>
          <w:sz w:val="22"/>
          <w:szCs w:val="22"/>
          <w:rtl w:val="1"/>
        </w:rPr>
        <w:t>ויניקוט, ד′ ו′ (1971). משחק ומציאות.</w:t>
      </w:r>
    </w:p>
    <w:p>
      <w:pPr>
        <w:spacing w:line="360" w:lineRule="auto" w:before="0" w:after="60"/>
        <w:jc w:val="right"/>
        <w:bidi w:val="1"/>
      </w:pPr>
      <w:r>
        <w:rPr>
          <w:rFonts w:ascii="David" w:hAnsi="David" w:cs="David"/>
          <w:sz w:val="22"/>
          <w:szCs w:val="22"/>
          <w:rtl w:val="1"/>
        </w:rPr>
        <w:t>פונגי, פ′, אלן, ג′, וביטמן, א′ (2008). טיפול מבוסס-מנטליזציה.</w:t>
      </w:r>
    </w:p>
    <w:p>
      <w:pPr>
        <w:spacing w:line="360" w:lineRule="auto" w:before="0" w:after="60"/>
        <w:jc w:val="right"/>
        <w:bidi w:val="1"/>
      </w:pPr>
      <w:r>
        <w:rPr>
          <w:rFonts w:ascii="David" w:hAnsi="David" w:cs="David"/>
          <w:sz w:val="22"/>
          <w:szCs w:val="22"/>
          <w:rtl w:val="1"/>
        </w:rPr>
        <w:t>Calheiros, M. M., Silva, C. S., Patrício, J. N., &amp; Carvalho, H. (2021). Youth in residential care: A cross-sectional mediation analysis of youth’s perceptions of their social images, self-representations, and adjustment outcomes. Frontiers in Psychology, 12, 744088.</w:t>
      </w:r>
    </w:p>
    <w:p>
      <w:r>
        <w:br w:type="page"/>
      </w:r>
    </w:p>
    <w:p>
      <w:pPr>
        <w:spacing w:line="360" w:lineRule="auto" w:before="0" w:after="80"/>
        <w:jc w:val="center"/>
        <w:bidi w:val="1"/>
      </w:pPr>
      <w:r>
        <w:rPr>
          <w:rFonts w:ascii="David" w:hAnsi="David" w:cs="David"/>
          <w:b/>
          <w:bCs/>
          <w:sz w:val="26"/>
          <w:szCs w:val="26"/>
          <w:rtl w:val="1"/>
        </w:rPr>
        <w:t>נספח לשאלה 2 – סימון handling ו-holding בקטע “אתי, אם הבית” (עמ′ 91–94)</w:t>
      </w:r>
    </w:p>
    <w:p>
      <w:pPr>
        <w:spacing w:line="360" w:lineRule="auto" w:before="0" w:after="120"/>
        <w:jc w:val="right"/>
        <w:bidi w:val="1"/>
      </w:pPr>
      <w:r>
        <w:rPr>
          <w:rFonts w:ascii="David" w:hAnsi="David" w:cs="David"/>
          <w:b/>
          <w:bCs/>
          <w:sz w:val="24"/>
          <w:szCs w:val="24"/>
          <w:rtl w:val="1"/>
        </w:rPr>
        <w:t xml:space="preserve">מקרא:  </w:t>
      </w:r>
      <w:r>
        <w:rPr>
          <w:rFonts w:ascii="David" w:hAnsi="David" w:cs="David"/>
          <w:sz w:val="24"/>
          <w:szCs w:val="24"/>
          <w:highlight w:val="cyan"/>
          <w:rtl w:val="1"/>
        </w:rPr>
        <w:t xml:space="preserve"> handling (ניהול פיזי / מציאות) </w:t>
      </w:r>
      <w:r>
        <w:rPr>
          <w:rFonts w:ascii="David" w:hAnsi="David" w:cs="David"/>
          <w:sz w:val="24"/>
          <w:szCs w:val="24"/>
          <w:rtl w:val="1"/>
        </w:rPr>
        <w:t xml:space="preserve">     </w:t>
      </w:r>
      <w:r>
        <w:rPr>
          <w:rFonts w:ascii="David" w:hAnsi="David" w:cs="David"/>
          <w:sz w:val="24"/>
          <w:szCs w:val="24"/>
          <w:highlight w:val="yellow"/>
          <w:rtl w:val="1"/>
        </w:rPr>
        <w:t xml:space="preserve"> holding (החזקה רגשית / משמעות) </w:t>
      </w:r>
    </w:p>
    <w:p>
      <w:pPr>
        <w:spacing w:after="80"/>
        <w:jc w:val="center"/>
      </w:pPr>
      <w:r>
        <w:drawing>
          <wp:inline xmlns:a="http://schemas.openxmlformats.org/drawingml/2006/main" xmlns:pic="http://schemas.openxmlformats.org/drawingml/2006/picture">
            <wp:extent cx="5029200" cy="7113620"/>
            <wp:docPr id="1" name="Picture 1"/>
            <wp:cNvGraphicFramePr>
              <a:graphicFrameLocks noChangeAspect="1"/>
            </wp:cNvGraphicFramePr>
            <a:graphic>
              <a:graphicData uri="http://schemas.openxmlformats.org/drawingml/2006/picture">
                <pic:pic>
                  <pic:nvPicPr>
                    <pic:cNvPr id="0" name="p91_hl.png"/>
                    <pic:cNvPicPr/>
                  </pic:nvPicPr>
                  <pic:blipFill>
                    <a:blip r:embed="rId9"/>
                    <a:stretch>
                      <a:fillRect/>
                    </a:stretch>
                  </pic:blipFill>
                  <pic:spPr>
                    <a:xfrm>
                      <a:off x="0" y="0"/>
                      <a:ext cx="5029200" cy="7113620"/>
                    </a:xfrm>
                    <a:prstGeom prst="rect"/>
                  </pic:spPr>
                </pic:pic>
              </a:graphicData>
            </a:graphic>
          </wp:inline>
        </w:drawing>
      </w:r>
    </w:p>
    <w:p>
      <w:pPr>
        <w:spacing w:after="80"/>
        <w:jc w:val="center"/>
      </w:pPr>
      <w:r>
        <w:drawing>
          <wp:inline xmlns:a="http://schemas.openxmlformats.org/drawingml/2006/main" xmlns:pic="http://schemas.openxmlformats.org/drawingml/2006/picture">
            <wp:extent cx="5029200" cy="7113620"/>
            <wp:docPr id="2" name="Picture 2"/>
            <wp:cNvGraphicFramePr>
              <a:graphicFrameLocks noChangeAspect="1"/>
            </wp:cNvGraphicFramePr>
            <a:graphic>
              <a:graphicData uri="http://schemas.openxmlformats.org/drawingml/2006/picture">
                <pic:pic>
                  <pic:nvPicPr>
                    <pic:cNvPr id="0" name="p92_hl.png"/>
                    <pic:cNvPicPr/>
                  </pic:nvPicPr>
                  <pic:blipFill>
                    <a:blip r:embed="rId10"/>
                    <a:stretch>
                      <a:fillRect/>
                    </a:stretch>
                  </pic:blipFill>
                  <pic:spPr>
                    <a:xfrm>
                      <a:off x="0" y="0"/>
                      <a:ext cx="5029200" cy="7113620"/>
                    </a:xfrm>
                    <a:prstGeom prst="rect"/>
                  </pic:spPr>
                </pic:pic>
              </a:graphicData>
            </a:graphic>
          </wp:inline>
        </w:drawing>
      </w:r>
    </w:p>
    <w:p>
      <w:pPr>
        <w:spacing w:after="80"/>
        <w:jc w:val="center"/>
      </w:pPr>
      <w:r>
        <w:drawing>
          <wp:inline xmlns:a="http://schemas.openxmlformats.org/drawingml/2006/main" xmlns:pic="http://schemas.openxmlformats.org/drawingml/2006/picture">
            <wp:extent cx="5029200" cy="7113620"/>
            <wp:docPr id="3" name="Picture 3"/>
            <wp:cNvGraphicFramePr>
              <a:graphicFrameLocks noChangeAspect="1"/>
            </wp:cNvGraphicFramePr>
            <a:graphic>
              <a:graphicData uri="http://schemas.openxmlformats.org/drawingml/2006/picture">
                <pic:pic>
                  <pic:nvPicPr>
                    <pic:cNvPr id="0" name="p93_hl.png"/>
                    <pic:cNvPicPr/>
                  </pic:nvPicPr>
                  <pic:blipFill>
                    <a:blip r:embed="rId11"/>
                    <a:stretch>
                      <a:fillRect/>
                    </a:stretch>
                  </pic:blipFill>
                  <pic:spPr>
                    <a:xfrm>
                      <a:off x="0" y="0"/>
                      <a:ext cx="5029200" cy="7113620"/>
                    </a:xfrm>
                    <a:prstGeom prst="rect"/>
                  </pic:spPr>
                </pic:pic>
              </a:graphicData>
            </a:graphic>
          </wp:inline>
        </w:drawing>
      </w:r>
    </w:p>
    <w:p>
      <w:pPr>
        <w:spacing w:after="80"/>
        <w:jc w:val="center"/>
      </w:pPr>
      <w:r>
        <w:drawing>
          <wp:inline xmlns:a="http://schemas.openxmlformats.org/drawingml/2006/main" xmlns:pic="http://schemas.openxmlformats.org/drawingml/2006/picture">
            <wp:extent cx="5029200" cy="7113620"/>
            <wp:docPr id="4" name="Picture 4"/>
            <wp:cNvGraphicFramePr>
              <a:graphicFrameLocks noChangeAspect="1"/>
            </wp:cNvGraphicFramePr>
            <a:graphic>
              <a:graphicData uri="http://schemas.openxmlformats.org/drawingml/2006/picture">
                <pic:pic>
                  <pic:nvPicPr>
                    <pic:cNvPr id="0" name="p94_hl.png"/>
                    <pic:cNvPicPr/>
                  </pic:nvPicPr>
                  <pic:blipFill>
                    <a:blip r:embed="rId12"/>
                    <a:stretch>
                      <a:fillRect/>
                    </a:stretch>
                  </pic:blipFill>
                  <pic:spPr>
                    <a:xfrm>
                      <a:off x="0" y="0"/>
                      <a:ext cx="5029200" cy="7113620"/>
                    </a:xfrm>
                    <a:prstGeom prst="rect"/>
                  </pic:spPr>
                </pic:pic>
              </a:graphicData>
            </a:graphic>
          </wp:inline>
        </w:drawing>
      </w:r>
    </w:p>
    <w:p>
      <w:pPr>
        <w:spacing w:line="360" w:lineRule="auto" w:before="120" w:after="120"/>
        <w:jc w:val="center"/>
        <w:bidi w:val="1"/>
      </w:pPr>
      <w:r>
        <w:rPr>
          <w:rFonts w:ascii="David" w:hAnsi="David" w:cs="David"/>
          <w:sz w:val="20"/>
          <w:szCs w:val="20"/>
          <w:rtl w:val="1"/>
        </w:rPr>
        <w:t>הסימון בוצע על דפי הספר עצמם (עמ′ 91–94): כחול בהיר = handling, צהוב = holding.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