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after="0"/>
        <w:jc w:val="both"/>
      </w:pPr>
    </w:p>
    <w:p>
      <w:pPr>
        <w:bidi w:val="1"/>
        <w:spacing w:line="360" w:lineRule="auto" w:after="0"/>
        <w:jc w:val="both"/>
      </w:pPr>
    </w:p>
    <w:p>
      <w:pPr>
        <w:bidi w:val="1"/>
        <w:spacing w:line="360" w:lineRule="auto" w:after="0"/>
        <w:jc w:val="both"/>
      </w:pPr>
    </w:p>
    <w:p>
      <w:pPr>
        <w:bidi w:val="1"/>
        <w:spacing w:line="240" w:lineRule="auto" w:after="120"/>
        <w:jc w:val="center"/>
      </w:pPr>
      <w:r>
        <w:rPr>
          <w:rFonts w:ascii="David" w:hAnsi="David" w:cs="David"/>
          <w:b/>
          <w:i w:val="0"/>
          <w:sz w:val="28"/>
          <w:szCs w:val="28"/>
          <w:rtl w:val="1"/>
        </w:rPr>
        <w:t>אוניברסיטת בר-אילן | המחלקה לספרות משווה</w:t>
      </w:r>
    </w:p>
    <w:p>
      <w:pPr>
        <w:bidi w:val="1"/>
        <w:spacing w:line="240" w:lineRule="auto" w:after="80"/>
        <w:jc w:val="center"/>
      </w:pPr>
      <w:r>
        <w:rPr>
          <w:rFonts w:ascii="David" w:hAnsi="David" w:cs="David"/>
          <w:b w:val="0"/>
          <w:i w:val="0"/>
          <w:sz w:val="24"/>
          <w:szCs w:val="24"/>
          <w:rtl w:val="1"/>
        </w:rPr>
        <w:t>מיתוס ודרמה בגרמניה (Myth and Drama in Germany) | 33938-01</w:t>
      </w:r>
    </w:p>
    <w:p>
      <w:pPr>
        <w:bidi w:val="1"/>
        <w:spacing w:line="240" w:lineRule="auto" w:after="600"/>
        <w:jc w:val="center"/>
      </w:pPr>
      <w:r>
        <w:rPr>
          <w:rFonts w:ascii="David" w:hAnsi="David" w:cs="David"/>
          <w:b w:val="0"/>
          <w:i w:val="0"/>
          <w:sz w:val="24"/>
          <w:szCs w:val="24"/>
          <w:rtl w:val="1"/>
        </w:rPr>
        <w:t>מרצה: פרופ' מיכל בן-חורין</w:t>
      </w:r>
    </w:p>
    <w:p>
      <w:pPr>
        <w:bidi w:val="1"/>
        <w:spacing w:line="240" w:lineRule="auto" w:after="80"/>
        <w:jc w:val="center"/>
      </w:pPr>
      <w:r>
        <w:rPr>
          <w:rFonts w:ascii="David" w:hAnsi="David" w:cs="David"/>
          <w:b/>
          <w:i w:val="0"/>
          <w:sz w:val="36"/>
          <w:szCs w:val="36"/>
          <w:rtl w:val="1"/>
        </w:rPr>
        <w:t>בין המרד הטרגי לפיוס ההומני</w:t>
      </w:r>
    </w:p>
    <w:p>
      <w:pPr>
        <w:bidi w:val="1"/>
        <w:spacing w:line="240" w:lineRule="auto" w:after="600"/>
        <w:jc w:val="center"/>
      </w:pPr>
      <w:r>
        <w:rPr>
          <w:rFonts w:ascii="David" w:hAnsi="David" w:cs="David"/>
          <w:b/>
          <w:i w:val="0"/>
          <w:sz w:val="28"/>
          <w:szCs w:val="28"/>
          <w:rtl w:val="1"/>
        </w:rPr>
        <w:t>הגיבורה מול השליט ב"אנטיגונה" של ברכט וב"איפיגניה בטאוריס" של גיתה</w:t>
      </w:r>
    </w:p>
    <w:p>
      <w:pPr>
        <w:bidi w:val="1"/>
        <w:spacing w:line="240" w:lineRule="auto" w:after="520"/>
        <w:jc w:val="center"/>
      </w:pPr>
      <w:r>
        <w:rPr>
          <w:rFonts w:ascii="David" w:hAnsi="David" w:cs="David"/>
          <w:b w:val="0"/>
          <w:i w:val="0"/>
          <w:sz w:val="26"/>
          <w:szCs w:val="26"/>
          <w:rtl w:val="1"/>
        </w:rPr>
        <w:t>עבודת סיכום</w:t>
      </w:r>
    </w:p>
    <w:p>
      <w:pPr>
        <w:bidi w:val="1"/>
        <w:spacing w:line="240" w:lineRule="auto" w:after="400"/>
        <w:jc w:val="center"/>
      </w:pPr>
      <w:r>
        <w:rPr>
          <w:rFonts w:ascii="David" w:hAnsi="David" w:cs="David"/>
          <w:b w:val="0"/>
          <w:i w:val="0"/>
          <w:sz w:val="24"/>
          <w:szCs w:val="24"/>
          <w:rtl w:val="1"/>
        </w:rPr>
        <w:t>מגיש/ה: ___________________          ת.ז: ___________________</w:t>
      </w:r>
    </w:p>
    <w:p>
      <w:pPr>
        <w:bidi w:val="1"/>
        <w:spacing w:line="240" w:lineRule="auto" w:after="40"/>
        <w:jc w:val="center"/>
      </w:pPr>
      <w:r>
        <w:rPr>
          <w:rFonts w:ascii="David" w:hAnsi="David" w:cs="David"/>
          <w:b w:val="0"/>
          <w:i w:val="0"/>
          <w:sz w:val="24"/>
          <w:szCs w:val="24"/>
          <w:rtl w:val="1"/>
        </w:rPr>
        <w:t>אב תשפ"ו | אוגוסט 2026</w:t>
      </w:r>
    </w:p>
    <w:p>
      <w:r>
        <w:br w:type="page"/>
      </w:r>
    </w:p>
    <w:p>
      <w:pPr>
        <w:bidi w:val="1"/>
        <w:spacing w:line="360" w:lineRule="auto" w:after="200"/>
        <w:jc w:val="right"/>
      </w:pPr>
      <w:r>
        <w:rPr>
          <w:rFonts w:ascii="David" w:hAnsi="David" w:cs="David"/>
          <w:b/>
          <w:i w:val="0"/>
          <w:sz w:val="26"/>
          <w:szCs w:val="26"/>
          <w:rtl w:val="1"/>
        </w:rPr>
        <w:t>מבוא</w:t>
      </w:r>
    </w:p>
    <w:p>
      <w:pPr>
        <w:bidi w:val="1"/>
        <w:spacing w:line="360" w:lineRule="auto" w:after="160"/>
        <w:jc w:val="both"/>
      </w:pPr>
      <w:r>
        <w:rPr>
          <w:rFonts w:ascii="David" w:hAnsi="David" w:cs="David"/>
          <w:b w:val="0"/>
          <w:i w:val="0"/>
          <w:sz w:val="24"/>
          <w:szCs w:val="24"/>
          <w:rtl w:val="1"/>
        </w:rPr>
        <w:t>הקורס מיתוס ודרמה בגרמניה בוחן כיצד יוצרים ויוצרות בגרמניה פונים אל המיתוס, ואילו סוגיות תרבותיות ואתיות הפנייה הזאת מעלה (בן-חורין, תשפ"ו). עבודה זו מעמידה זו מול זו שתי יצירות שמושכות את אותו חומר מיתי לשני קטבים מנוגדים. "איפיגניה בטאוריס" של גיתה (1787/1981) ו"אנטיגונה" של ברטולט ברכט (1948/2022) שתיהן עיבודים גרמניים לטרגדיה יוונית, ושתיהן מעמידות במרכזן אישה שמסרבת לציית לצו של שליט. אך בעוד גיתה מיישב את הסכסוך בפיוס הומני, ברכט מותיר אותו פצע פתוח וטעון פוליטית. הטענה המרכזית בעבודה היא ששתי היצירות מגלמות שני אופנים הפוכים שבהם הדרמה הגרמנית מתייחסת אל המיתוס, האחד גואל אותו והשני מפרק אותו, ושדווקא ההעמדה שלהן זו מול זו חושפת מהו היחס שבין מיתוס לדרמה (בן-חורין, תשפ"ו).</w:t>
      </w:r>
    </w:p>
    <w:p>
      <w:pPr>
        <w:bidi w:val="1"/>
        <w:spacing w:line="360" w:lineRule="auto" w:after="160"/>
        <w:jc w:val="both"/>
      </w:pPr>
      <w:r>
        <w:rPr>
          <w:rFonts w:ascii="David" w:hAnsi="David" w:cs="David"/>
          <w:b w:val="0"/>
          <w:i w:val="0"/>
          <w:sz w:val="24"/>
          <w:szCs w:val="24"/>
          <w:rtl w:val="1"/>
        </w:rPr>
        <w:t>הדיון מתקדם בשלושה מהלכים. תחילה מתואר כיצד כל מחזה ניגש אל המקור המיתי שלו ואל יסוד הגורל. לאחר מכן מועמדות שתי סצנות היסוד, הגיבורה מול השליט, זו מול זו. לבסוף נבחן הפתרון המנוגד של שני המחזות, הטרגי-פוליטי מול ההומני, ומה שאפשר ללמוד מן ההבדל על עצם המפגש בין מיתוס לדרמה.</w:t>
      </w:r>
    </w:p>
    <w:p>
      <w:pPr>
        <w:bidi w:val="1"/>
        <w:spacing w:line="360" w:lineRule="auto" w:after="200"/>
        <w:jc w:val="right"/>
      </w:pPr>
      <w:r>
        <w:rPr>
          <w:rFonts w:ascii="David" w:hAnsi="David" w:cs="David"/>
          <w:b/>
          <w:i w:val="0"/>
          <w:sz w:val="26"/>
          <w:szCs w:val="26"/>
          <w:rtl w:val="1"/>
        </w:rPr>
        <w:t>א. שני עיבודים, שתי גישות אל המיתוס</w:t>
      </w:r>
    </w:p>
    <w:p>
      <w:pPr>
        <w:bidi w:val="1"/>
        <w:spacing w:line="360" w:lineRule="auto" w:after="160"/>
        <w:jc w:val="both"/>
      </w:pPr>
      <w:r>
        <w:rPr>
          <w:rFonts w:ascii="David" w:hAnsi="David" w:cs="David"/>
          <w:b w:val="0"/>
          <w:i w:val="0"/>
          <w:sz w:val="24"/>
          <w:szCs w:val="24"/>
          <w:rtl w:val="1"/>
        </w:rPr>
        <w:t>המיתוס אינו סיפור קבוע אלא חומר שנמסר מחדש בכל דור, וכל עיבוד הוא כבר פרשנות. זו נקודת המוצא של הקורס באשר לפנייה של הדרמה הגרמנית אל המיתוס (בן-חורין, תשפ"ו). מאמרה של הלן שו ב"ניו יורק טיימס" ממחיש זאת: אנטיגונה חוזרת ומועלית על הבמה שוב ושוב, ובשנת 2026 לבדה הועלתה בניו יורק בכמה הפקות שונות זו לצד זו, עדות לכך שהדמות אינה מתיישנת אלא נקראת מחדש בכל תקופה (שו, 2026).</w:t>
      </w:r>
    </w:p>
    <w:p>
      <w:pPr>
        <w:bidi w:val="1"/>
        <w:spacing w:line="360" w:lineRule="auto" w:after="160"/>
        <w:jc w:val="both"/>
      </w:pPr>
      <w:r>
        <w:rPr>
          <w:rFonts w:ascii="David" w:hAnsi="David" w:cs="David"/>
          <w:b w:val="0"/>
          <w:i w:val="0"/>
          <w:sz w:val="24"/>
          <w:szCs w:val="24"/>
          <w:rtl w:val="1"/>
        </w:rPr>
        <w:t>גיתה נשען על המיתוס של איפיגניה, בתו של אגממנון, שהוקרבה בידי אביה, ניצלה בידי האלה ארטמיס והועברה לטאוריס לשמש כוהנת. אצל אוריפידס, המקור היווני שהקורס מעמיד מולו את העיבוד הגרמני, נפתר המתח בהתערבות אלוהית, בדאוס אקס מכינה (בן-חורין, תשפ"ו). גיתה מסלק את המנגנון הזה. הוא מעביר את מרכז הכובד מן האלים אל האדם, ואת ההצלה הוא מפקיד לא בידי אלה שיורדת מן המכונה אלא במוסריותה של הגיבורה, באידאל האנושיות (Humanität) שעומד במרכז המחזה ומנוסח בשורותיו שלו (גיתה, 1787/1981).</w:t>
      </w:r>
    </w:p>
    <w:p>
      <w:pPr>
        <w:bidi w:val="1"/>
        <w:spacing w:line="360" w:lineRule="auto" w:after="160"/>
        <w:jc w:val="both"/>
      </w:pPr>
      <w:r>
        <w:rPr>
          <w:rFonts w:ascii="David" w:hAnsi="David" w:cs="David"/>
          <w:b w:val="0"/>
          <w:i w:val="0"/>
          <w:sz w:val="24"/>
          <w:szCs w:val="24"/>
          <w:rtl w:val="1"/>
        </w:rPr>
        <w:t>ברכט הולך בכיוון ההפוך. הוא נשען על תרגומו הבלתי שגרתי של הלדרלין לסופוקלס, ומוציא מן הטרגדיה את מה שראה כ"ערפל האידאולוגי" שלה, כלומר את יסוד הגורל, ומחליף אותו בסיבתיות פוליטית (ברכט, 1948/2022). הוא פותח את המחזה בפרולוג שמתרחש בברלין באפריל 1945, שבו שתי אחיות חוזרות ממקלט מפני הפצצות ומגלות את אחיהן תלוי בידי איש אס-אס (ברכט, 1948/2022, עמ' 3). כך, עוד לפני שהמיתוס היווני מתחיל, הוא כבר מעוגן בזמן ההיסטורי הקונקרטי של גרמניה הנאצית. כפי שמראה זטי, במאה העשרים באירופה הופכת אנטיגונה לכלי של זיכרון, פוליטיקה והתנגדות, לא לסיפור על גורל (Zetti, 2017).</w:t>
      </w:r>
    </w:p>
    <w:p>
      <w:pPr>
        <w:bidi w:val="1"/>
        <w:spacing w:line="360" w:lineRule="auto" w:after="160"/>
        <w:jc w:val="both"/>
      </w:pPr>
      <w:r>
        <w:rPr>
          <w:rFonts w:ascii="David" w:hAnsi="David" w:cs="David"/>
          <w:b w:val="0"/>
          <w:i w:val="0"/>
          <w:sz w:val="24"/>
          <w:szCs w:val="24"/>
          <w:rtl w:val="1"/>
        </w:rPr>
        <w:t>ההבדל בין שתי הגישות ניכר כבר ברמת הצורה הדרמטית. ברכט אינו מבקש שהצופה יזדהה עם הגורל הטרגי אלא שיתבונן בו מבחוץ, ולכן הוא ממקם את הפרולוג בזמן ובמקום קונקרטיים ומנתק את הצופה מן ההזדהות המיתית. זהו מהלך של הרחקה, מן הכלים הפרשניים שהקורס מזהה כמרכזיים בתיאטרון של ברכט (בן-חורין, תשפ"ו). גיתה, לעומתו, אינו מרחיק את הגורל אלא מפנים אותו. מה שהיה אצל אוריפידס כוח חיצוני של האלים הופך אצלו לקול המצפון הפנימי של הגיבורה, והדרמה כולה נעה מן החוץ אל הפנים, מן המיתוס אל הנפש (גיתה, 1787/1981).</w:t>
      </w:r>
    </w:p>
    <w:p>
      <w:pPr>
        <w:bidi w:val="1"/>
        <w:spacing w:line="360" w:lineRule="auto" w:after="160"/>
        <w:jc w:val="both"/>
      </w:pPr>
      <w:r>
        <w:rPr>
          <w:rFonts w:ascii="David" w:hAnsi="David" w:cs="David"/>
          <w:b w:val="0"/>
          <w:i w:val="0"/>
          <w:sz w:val="24"/>
          <w:szCs w:val="24"/>
          <w:rtl w:val="1"/>
        </w:rPr>
        <w:t>גם מבנה הטקסט נושא את ההבדל הזה. "איפיגניה בטאוריס" כתובה בתבנית הקלאסית הסגורה, בחרוזים לבנים מדודים, שבה כל מהלך נובע מקודמו עד הפיוס, צורה שמגלמת בעצמה את אמון ויימאר בהרמוניה ובמידה (גיתה, 1787/1981). ברכט, לעומת זאת, כותב דרמה אפית ופתוחה, קטועה, המשלבת מקהלה ופרולוג עכשווי ומסרבת לאשליה של רצף אחיד. הקורס מדגיש שתיאור המאפיינים הדרמטיים של הטקסט הוא חלק מן הקריאה בו, וכאן הצורה אינה עטיפה חיצונית אלא נושאת בעצמה את עמדת היוצר כלפי המיתוס (בן-חורין, תשפ"ו).</w:t>
      </w:r>
    </w:p>
    <w:p>
      <w:pPr>
        <w:bidi w:val="1"/>
        <w:spacing w:line="360" w:lineRule="auto" w:after="200"/>
        <w:jc w:val="right"/>
      </w:pPr>
      <w:r>
        <w:rPr>
          <w:rFonts w:ascii="David" w:hAnsi="David" w:cs="David"/>
          <w:b/>
          <w:i w:val="0"/>
          <w:sz w:val="26"/>
          <w:szCs w:val="26"/>
          <w:rtl w:val="1"/>
        </w:rPr>
        <w:t>ב. הגיבורה מול השליט</w:t>
      </w:r>
    </w:p>
    <w:p>
      <w:pPr>
        <w:bidi w:val="1"/>
        <w:spacing w:line="360" w:lineRule="auto" w:after="160"/>
        <w:jc w:val="both"/>
      </w:pPr>
      <w:r>
        <w:rPr>
          <w:rFonts w:ascii="David" w:hAnsi="David" w:cs="David"/>
          <w:b w:val="0"/>
          <w:i w:val="0"/>
          <w:sz w:val="24"/>
          <w:szCs w:val="24"/>
          <w:rtl w:val="1"/>
        </w:rPr>
        <w:t>בשני המחזות עומדת אישה מול שליט גבר שדורש ממנה כניעה, ובשני המקרים הסירוב נובע מנאמנות לערך שגבוה מצו המלך, אך אופי הסירוב שונה לגמרי (בן-חורין, תשפ"ו).</w:t>
      </w:r>
    </w:p>
    <w:p>
      <w:pPr>
        <w:bidi w:val="1"/>
        <w:spacing w:line="360" w:lineRule="auto" w:after="160"/>
        <w:jc w:val="both"/>
      </w:pPr>
      <w:r>
        <w:rPr>
          <w:rFonts w:ascii="David" w:hAnsi="David" w:cs="David"/>
          <w:b w:val="0"/>
          <w:i w:val="0"/>
          <w:sz w:val="24"/>
          <w:szCs w:val="24"/>
          <w:rtl w:val="1"/>
        </w:rPr>
        <w:t>אנטיגונה של ברכט מתעמתת עם קראון בשפה של כוח ושל פוליטיקה. כשהוא מזכיר לה שהפרה את חוקי המדינה, היא משיבה שהחוקים האלה אינם נצחיים אלא אנושיים ולכן שבירים: "מכיוון שהם שלך, של בן תמותה, בן תמותה יכול להפר אותם, ואני רק קצת מעט פחות בת תמותה ממך" (ברכט, 1948/2022, עמ' 22).</w:t>
      </w:r>
    </w:p>
    <w:p>
      <w:pPr>
        <w:bidi w:val="1"/>
        <w:spacing w:line="360" w:lineRule="auto" w:after="160"/>
        <w:jc w:val="both"/>
      </w:pPr>
      <w:r>
        <w:rPr>
          <w:rFonts w:ascii="David" w:hAnsi="David" w:cs="David"/>
          <w:b w:val="0"/>
          <w:i w:val="0"/>
          <w:sz w:val="24"/>
          <w:szCs w:val="24"/>
          <w:rtl w:val="1"/>
        </w:rPr>
        <w:t>הרגע החד ביותר הוא כשהעימות נחשף כעימות על מלחמה. אנטיגונה מבחינה בין מוות למען המולדת לבין מוות למען השליט עצמו, ומאשימה את קראון שהוא מנהל מלחמת כיבוש בארץ זרה: "שני דברים שונים הם למות בעד הארץ ולמות בשבילָך [...] דווקא יש, שלָך [...] ארץ זרה" (ברכט, 1948/2022, עמ' 24). זהו השינוי המהותי שברכט מכניס. אצלו הסכסוך אינו רק בין חוק המשפחה לחוק המדינה, הקריאה הקלאסית המזוהה עם הגל שהקורס בוחן בהקשר של התקבלות המחזה, אלא בין הפרט לשלטון תוקפני שמוביל את עמו למלחמת שווא (בן-חורין, תשפ"ו). אנטיגונה אינה קדושה מיתית אלא קול פוליטי מתריס.</w:t>
      </w:r>
    </w:p>
    <w:p>
      <w:pPr>
        <w:bidi w:val="1"/>
        <w:spacing w:line="360" w:lineRule="auto" w:after="160"/>
        <w:jc w:val="both"/>
      </w:pPr>
      <w:r>
        <w:rPr>
          <w:rFonts w:ascii="David" w:hAnsi="David" w:cs="David"/>
          <w:b w:val="0"/>
          <w:i w:val="0"/>
          <w:sz w:val="24"/>
          <w:szCs w:val="24"/>
          <w:rtl w:val="1"/>
        </w:rPr>
        <w:t>איפיגניה של גיתה עומדת במצב דומה במבנהו אך שונה לחלוטין בטונו. גם היא זרה בארץ נכר, נתונה לרצונו של מלך, תואס, שמבקש לשאת אותה לאישה. המונולוג הפותח שלה הוא קינה של אישה עקורה, שכנועה מבחוץ אך אינו נשבר מבפנים: "כָּךְ זֶה שָׁנִים שׁוֹמְרֵנִי פֹּה בַּסֵּתֶר / רָצוֹן עֶלְיוֹן, וְלוֹ אֲנִי נִכְנַעַת; / אוּלָם זָרָה נוֹתַרְתִּי כְּבַתְּחִלָּה" (גיתה, 1787/1981, שורות 7-9). היא מתגעגעת הביתה ומקוננת על גורל האישה הבודדה (גיתה, 1787/1981, שורות 15-16). אך בניגוד לאנטיגונה, איפיגניה אינה נלחמת בשליט בשפה של כוח, אלא בכוח האמת: ברגע המכריע היא מסרבת לרמות את תואס ולגנוב את פסל האלה כפי שאחיה מציע, ובוחרת לומר לו את האמת במלואה (גיתה, 1787/1981).</w:t>
      </w:r>
    </w:p>
    <w:p>
      <w:pPr>
        <w:bidi w:val="1"/>
        <w:spacing w:line="360" w:lineRule="auto" w:after="160"/>
        <w:jc w:val="both"/>
      </w:pPr>
      <w:r>
        <w:rPr>
          <w:rFonts w:ascii="David" w:hAnsi="David" w:cs="David"/>
          <w:b w:val="0"/>
          <w:i w:val="0"/>
          <w:sz w:val="24"/>
          <w:szCs w:val="24"/>
          <w:rtl w:val="1"/>
        </w:rPr>
        <w:t>האמת אינה אצלה כניעה אלא צורה אחרת של התנגדות. כשתואס דורש ממנה למלא את חוק הקורבן הקדום, היא מזהירה אותו שמלך הגוזר דין לא-אנושי תמיד ימצא משרתים שיבצעו למענו את החצי המלוכלך של הפשע, בעוד ידיו שלו נשארות נקיות (גיתה, 1787/1981, שורות 1813-1815). זו אינה בקשת רחמים אלא טענה חדה על אחריותו המוסרית של השליט. וכנגד דימוי האישה הכנועה, היא מבחינה בין ציות שהוא חופש לבין כניעה שהיא השפלה: מילדותה למדה משמעת להוריה ולאלים, ובציות הזה חשה את נפשה חופשייה, אך לכפיפות לאיומיו של גבר לא הסכינה מעולם (גיתה, 1787/1981, שורות 1826-1830).</w:t>
      </w:r>
    </w:p>
    <w:p>
      <w:pPr>
        <w:bidi w:val="1"/>
        <w:spacing w:line="360" w:lineRule="auto" w:after="160"/>
        <w:jc w:val="both"/>
      </w:pPr>
      <w:r>
        <w:rPr>
          <w:rFonts w:ascii="David" w:hAnsi="David" w:cs="David"/>
          <w:b w:val="0"/>
          <w:i w:val="0"/>
          <w:sz w:val="24"/>
          <w:szCs w:val="24"/>
          <w:rtl w:val="1"/>
        </w:rPr>
        <w:t>גם דמויות השליטים מציבות את שני הקטבים. קראון של ברכט הוא רודן המנהל מלחמת כיבוש, מעניש את מפירי צוויו בפומבי ובאכזריות, וסופו שהוא מאבד את בנו ואת צבאו כאחד (ברכט, 1948/2022). תואס של גיתה, ה"ברברי" לכאורה, מתגלה דווקא כמי שכפוף לחוק עתיק יותר, חוק הכנסת האורחים, ומוכן לשמוע טיעון מוסרי ולשנות את דעתו (גיתה, 1787/1981). ההצבה הזאת הופכת את הציפייה על פיה: השליט מן העולם המוכר הוא האלים והתוקפני, ואילו הזר, ה"ברברי", הוא שמגלם את האנושיות.</w:t>
      </w:r>
    </w:p>
    <w:p>
      <w:pPr>
        <w:bidi w:val="1"/>
        <w:spacing w:line="360" w:lineRule="auto" w:after="200"/>
        <w:jc w:val="right"/>
      </w:pPr>
      <w:r>
        <w:rPr>
          <w:rFonts w:ascii="David" w:hAnsi="David" w:cs="David"/>
          <w:b/>
          <w:i w:val="0"/>
          <w:sz w:val="26"/>
          <w:szCs w:val="26"/>
          <w:rtl w:val="1"/>
        </w:rPr>
        <w:t>ג. הפתרון: טרגי-פוליטי מול הומני</w:t>
      </w:r>
    </w:p>
    <w:p>
      <w:pPr>
        <w:bidi w:val="1"/>
        <w:spacing w:line="360" w:lineRule="auto" w:after="160"/>
        <w:jc w:val="both"/>
      </w:pPr>
      <w:r>
        <w:rPr>
          <w:rFonts w:ascii="David" w:hAnsi="David" w:cs="David"/>
          <w:b w:val="0"/>
          <w:i w:val="0"/>
          <w:sz w:val="24"/>
          <w:szCs w:val="24"/>
          <w:rtl w:val="1"/>
        </w:rPr>
        <w:t>כאן, בסיום, נפרדות הדרכים לגמרי. אצל ברכט אין גאולה. פירוק הגורל אינו מוביל אל פיוס אלא אל חורבן. המחזה מסתיים בהתרסקות מוחלטת: בנו של קראון, מגאורוס, נופל בקרב, צבאו מובס ונס, והשלטון קורס בלי נחמה (ברכט, 1948/2022). ברכט אינו רוצה שהצופה יצא מטוהר בקתרזיס אלא שיצא מפוכח. פירוק המיתוס הוא עצמו האמירה, שאין גורל שמצדיק את הזוועה, יש רק בני אדם והחלטותיהם, ואת אלה אפשר וצריך לשפוט (ברכט, 1948/2022).</w:t>
      </w:r>
    </w:p>
    <w:p>
      <w:pPr>
        <w:bidi w:val="1"/>
        <w:spacing w:line="360" w:lineRule="auto" w:after="160"/>
        <w:jc w:val="both"/>
      </w:pPr>
      <w:r>
        <w:rPr>
          <w:rFonts w:ascii="David" w:hAnsi="David" w:cs="David"/>
          <w:b w:val="0"/>
          <w:i w:val="0"/>
          <w:sz w:val="24"/>
          <w:szCs w:val="24"/>
          <w:rtl w:val="1"/>
        </w:rPr>
        <w:t>אצל גיתה קורה ההפך. במקום שהמכונה האלוהית תתיר את הקשר, האמת האנושית של איפיגניה היא שממיסה את לב המלך. היא קוראת לתואס לפעול מן הלב ולא מן החישוב, "רַק הַסָּפֵק הוֹפֵךְ הַטּוֹב לְרָע. / אַל שְׁקוּלִים! קַיֵּם מִצְוַת לִבֶּךָ" (גיתה, 1787/1981, שורה 1990), ובשיא היא מנסחת את עקרון האנושיות, שהטוב אינו זקוק לחישובי תועלת, "לַעֲשׂוֹת הַטּוֹב, בִּשְׁקוּלִים אֵין צֹרֶךְ" (גיתה, 1787/1981, שורה 2000). תואס נענה דווקא הוא לקריאה האנושית ומושיט יד לשלום, "הוֹשֶׁט נָא לִי יָדְךָ לְאוֹת שָׁלוֹם" (גיתה, 1787/1981, שורה 1985). אם אצל אוריפידס התירה את הקשר אלה שירדה מן המכונה, כאן תופס את מקומה האדם עצמו: לא דאוס אקס מכינה אלא הכרעה אנושית היא שמביאה את הפתרון (גיתה, 1787/1981).</w:t>
      </w:r>
    </w:p>
    <w:p>
      <w:pPr>
        <w:bidi w:val="1"/>
        <w:spacing w:line="360" w:lineRule="auto" w:after="160"/>
        <w:jc w:val="both"/>
      </w:pPr>
      <w:r>
        <w:rPr>
          <w:rFonts w:ascii="David" w:hAnsi="David" w:cs="David"/>
          <w:b w:val="0"/>
          <w:i w:val="0"/>
          <w:sz w:val="24"/>
          <w:szCs w:val="24"/>
          <w:rtl w:val="1"/>
        </w:rPr>
        <w:t>שני הסיומים האלה הם שתי תשובות הפוכות לאותה שאלה שהקורס מציב על הפנייה אל המיתוס, מה עושים עם המיתוס (בן-חורין, תשפ"ו). גיתה גואל אותו: הוא לוקח סיפור אכזרי של קורבן אדם והופך אותו לעדות ליכולתו של האדם להשתחרר מן האלימות בכוח האנושיות שבו. ברכט מסרב לגאולה הזאת. הוא חושף את המיתוס כמסך שמסתיר יחסי כוח, ומפרק אותו כדי שייחשף המנגנון הפוליטי שמאחוריו (ברכט, 1948/2022).</w:t>
      </w:r>
    </w:p>
    <w:p>
      <w:pPr>
        <w:bidi w:val="1"/>
        <w:spacing w:line="360" w:lineRule="auto" w:after="200"/>
        <w:jc w:val="right"/>
      </w:pPr>
      <w:r>
        <w:rPr>
          <w:rFonts w:ascii="David" w:hAnsi="David" w:cs="David"/>
          <w:b/>
          <w:i w:val="0"/>
          <w:sz w:val="26"/>
          <w:szCs w:val="26"/>
          <w:rtl w:val="1"/>
        </w:rPr>
        <w:t>ד. מה לומדים מן ההשוואה</w:t>
      </w:r>
    </w:p>
    <w:p>
      <w:pPr>
        <w:bidi w:val="1"/>
        <w:spacing w:line="360" w:lineRule="auto" w:after="160"/>
        <w:jc w:val="both"/>
      </w:pPr>
      <w:r>
        <w:rPr>
          <w:rFonts w:ascii="David" w:hAnsi="David" w:cs="David"/>
          <w:b w:val="0"/>
          <w:i w:val="0"/>
          <w:sz w:val="24"/>
          <w:szCs w:val="24"/>
          <w:rtl w:val="1"/>
        </w:rPr>
        <w:t>אפשר לחדד את ההבדל דרך מושג הקורבן, שעומד בלב שני המיתוסים. סיפורה של איפיגניה נפתח בקורבן אדם, בתו של אגממנון על המזבח, ואילו סיפורה של אנטיגונה סובב סביב גופה של המת שאין קוברים. גיתה לוקח את מיתוס הקורבן והופך אותו על פיו: לא עוד דם הנשפך כדי לרצות את האלים, אלא אמת הנאמרת כדי לגאול את האדם, כך שהקורבן מבוטל והכול ניצלים (גיתה, 1787/1981). אצל ברכט אין ביטול כזה. התנגדותה של אנטיגונה עולה לה בחייה, והמחיר אינו נמחק אלא נותר גלוי כדי שהצופה יישא את משקלו (ברכט, 1948/2022). כך מתגלים שני יחסים הפוכים אל הקורבן המיתי, האחד מבקש להיחלץ ממנו והשני מסרב להסתיר אותו.</w:t>
      </w:r>
    </w:p>
    <w:p>
      <w:pPr>
        <w:bidi w:val="1"/>
        <w:spacing w:line="360" w:lineRule="auto" w:after="160"/>
        <w:jc w:val="both"/>
      </w:pPr>
      <w:r>
        <w:rPr>
          <w:rFonts w:ascii="David" w:hAnsi="David" w:cs="David"/>
          <w:b w:val="0"/>
          <w:i w:val="0"/>
          <w:sz w:val="24"/>
          <w:szCs w:val="24"/>
          <w:rtl w:val="1"/>
        </w:rPr>
        <w:t>ההעמדה של שני המחזות זו מול זו מלמדת שהמיתוס אינו נושא בתוכו משמעות אחת קבועה, אלא הוא מעין מסך שעליו כל דרמטורג מקרין את שאלת התקופה שלו (בן-חורין, תשפ"ו). גיתה, בן הקלאסיקה של ויימאר, מקרין על המיתוס את האמונה הנאורה ביכולת האדם להשתלם ולגבור על הברבריות. ברכט, אחרי אושוויץ ואחרי המלחמה, כבר אינו יכול להאמין בגאולה הזאת, ולכן הופך את המיתוס לכלי ביקורת פוליטי (Zetti, 2017).</w:t>
      </w:r>
    </w:p>
    <w:p>
      <w:pPr>
        <w:bidi w:val="1"/>
        <w:spacing w:line="360" w:lineRule="auto" w:after="160"/>
        <w:jc w:val="both"/>
      </w:pPr>
      <w:r>
        <w:rPr>
          <w:rFonts w:ascii="David" w:hAnsi="David" w:cs="David"/>
          <w:b w:val="0"/>
          <w:i w:val="0"/>
          <w:sz w:val="24"/>
          <w:szCs w:val="24"/>
          <w:rtl w:val="1"/>
        </w:rPr>
        <w:t>ההבדל הזה נוגע ישירות בשאלה שהמחזות מציבים על הגיבורה. אנטיגונה של ברכט ואיפיגניה של גיתה שתיהן נשים שמתייצבות מול סמכות גברית בשם ערך עליון, אך אצל ברכט הערך הוא צדק פוליטי שמוביל אל מוות, ואצל גיתה הוא אנושיות שמובילה אל חיים. שתי הגיבורות מגלמות שני חלומות שונים על התנגדות, אחת מנצחת דרך מותה ומחאתה, והשנייה דרך כוחה לשנות את האחר בלי אלימות (בן-חורין, תשפ"ו).</w:t>
      </w:r>
    </w:p>
    <w:p>
      <w:pPr>
        <w:bidi w:val="1"/>
        <w:spacing w:line="360" w:lineRule="auto" w:after="160"/>
        <w:jc w:val="both"/>
      </w:pPr>
      <w:r>
        <w:rPr>
          <w:rFonts w:ascii="David" w:hAnsi="David" w:cs="David"/>
          <w:b w:val="0"/>
          <w:i w:val="0"/>
          <w:sz w:val="24"/>
          <w:szCs w:val="24"/>
          <w:rtl w:val="1"/>
        </w:rPr>
        <w:t>על רקע זה מתחדדת גם משמעותה של הבחירה בגיבורה אישה בשני המחזות. שתיהן מציבות את קולן מול סמכות גברית, אך אצל ברכט ההתנגדות נשמעת בשפת הכוח והפוליטיקה, ואילו אצל גיתה היא נשמעת בשפת האמת והמצפון. אין כאן דגם אחד של גבורה נשית אלא שניים: האחת מפרה את הצו ומשלמת על כך בחייה, השנייה אינה מפרה דבר אלא משנה את הצו מבפנים, בכוח דיבורה. ההעמדה של שתי הדמויות זו מול זו היא בדיוק סוג הקריאה ההשוואתית שהקורס מציע ככלי פרשני, קריאה שאינה בוחנת יצירה יחידה אלא את היחסים בין יצירות הפונות אל אותו מיתוס (בן-חורין, תשפ"ו).</w:t>
      </w:r>
    </w:p>
    <w:p>
      <w:pPr>
        <w:bidi w:val="1"/>
        <w:spacing w:line="360" w:lineRule="auto" w:after="160"/>
        <w:jc w:val="both"/>
      </w:pPr>
      <w:r>
        <w:rPr>
          <w:rFonts w:ascii="David" w:hAnsi="David" w:cs="David"/>
          <w:b w:val="0"/>
          <w:i w:val="0"/>
          <w:sz w:val="24"/>
          <w:szCs w:val="24"/>
          <w:rtl w:val="1"/>
        </w:rPr>
        <w:t>ובחזרה אל שו, שהצביעה על שיבתה המתמדת של אנטיגונה אל הבמה בכל מקום שבו מתקיים דיון מחודש בסמכות ובצדק (שו, 2026). איפיגניה, בהיפוך, מופיעה במקום שבו יש אמונה שאפשר לרפא את הפצע. שתיהן יחד מתוות את שני הקטבים של הדרמה הגרמנית מול המיתוס, קוטב המחאה הטרגית וקוטב הריפוי ההומני.</w:t>
      </w:r>
    </w:p>
    <w:p>
      <w:pPr>
        <w:bidi w:val="1"/>
        <w:spacing w:line="360" w:lineRule="auto" w:after="200"/>
        <w:jc w:val="right"/>
      </w:pPr>
      <w:r>
        <w:rPr>
          <w:rFonts w:ascii="David" w:hAnsi="David" w:cs="David"/>
          <w:b/>
          <w:i w:val="0"/>
          <w:sz w:val="26"/>
          <w:szCs w:val="26"/>
          <w:rtl w:val="1"/>
        </w:rPr>
        <w:t>סיכום ומסקנות</w:t>
      </w:r>
    </w:p>
    <w:p>
      <w:pPr>
        <w:bidi w:val="1"/>
        <w:spacing w:line="360" w:lineRule="auto" w:after="160"/>
        <w:jc w:val="both"/>
      </w:pPr>
      <w:r>
        <w:rPr>
          <w:rFonts w:ascii="David" w:hAnsi="David" w:cs="David"/>
          <w:b w:val="0"/>
          <w:i w:val="0"/>
          <w:sz w:val="24"/>
          <w:szCs w:val="24"/>
          <w:rtl w:val="1"/>
        </w:rPr>
        <w:t>"אנטיגונה" של ברכט ו"איפיגניה" של גיתה יוצאות מאותו מקור מיתי ומגיעות לשני מקומות מנוגדים. האחת מפרקת את המיתוס כדי לחשוף אלימות ושלטון, והשנייה גואלת אותו כדי להאיר את האנושיות. ההשוואה ביניהן אינה מכריעה מי צודקת, אלא מראה שהמיתוס הוא שדה פתוח, וכל דרמטורג בוחר בו את הקרב שלו, גיתה את הקרב על דמות האדם וברכט את הקרב על האמת הפוליטית (בן-חורין, תשפ"ו).</w:t>
      </w:r>
    </w:p>
    <w:p>
      <w:pPr>
        <w:bidi w:val="1"/>
        <w:spacing w:line="360" w:lineRule="auto" w:after="160"/>
        <w:jc w:val="both"/>
      </w:pPr>
      <w:r>
        <w:rPr>
          <w:rFonts w:ascii="David" w:hAnsi="David" w:cs="David"/>
          <w:b w:val="0"/>
          <w:i w:val="0"/>
          <w:sz w:val="24"/>
          <w:szCs w:val="24"/>
          <w:rtl w:val="1"/>
        </w:rPr>
        <w:t>מעבר למסקנה התאורטית, ההשוואה מציעה גם דרך קריאה יישומית. קריאה של מחזה לא בבידודו אלא מול המקור המיתי שלו ומול עיבוד מנוגד, כפי שנעשה כאן עם שני העיבודים הגרמניים, חושפת את שאלת התקופה בחדות שקריאה של מחזה יחיד אינה מגיעה אליה. זהו הכלי הפרשני שהקורס מציע, וההשוואה בין ברכט לגיתה מדגימה מדוע דווקא ההעמדה הכפולה, ולא הקריאה הבודדת, מוציאה מן המיתוס את מלוא משמעותו בהווה.</w:t>
      </w:r>
    </w:p>
    <w:p>
      <w:r>
        <w:br w:type="page"/>
      </w:r>
    </w:p>
    <w:p>
      <w:pPr>
        <w:bidi w:val="1"/>
        <w:spacing w:line="360" w:lineRule="auto" w:after="200"/>
        <w:jc w:val="right"/>
      </w:pPr>
      <w:r>
        <w:rPr>
          <w:rFonts w:ascii="David" w:hAnsi="David" w:cs="David"/>
          <w:b/>
          <w:i w:val="0"/>
          <w:sz w:val="26"/>
          <w:szCs w:val="26"/>
          <w:rtl w:val="1"/>
        </w:rPr>
        <w:t>רשימת מקורות</w:t>
      </w:r>
    </w:p>
    <w:p>
      <w:pPr>
        <w:bidi w:val="1"/>
        <w:spacing w:line="360" w:lineRule="auto" w:after="200"/>
        <w:ind w:left="709" w:hanging="709"/>
        <w:jc w:val="both"/>
      </w:pPr>
      <w:r>
        <w:rPr>
          <w:rFonts w:ascii="David" w:hAnsi="David" w:cs="David"/>
          <w:i w:val="0"/>
          <w:sz w:val="24"/>
          <w:szCs w:val="24"/>
          <w:rtl w:val="1"/>
        </w:rPr>
        <w:t xml:space="preserve">בן-חורין, מ' (תשפ"ו). </w:t>
      </w:r>
      <w:r>
        <w:rPr>
          <w:rFonts w:ascii="David" w:hAnsi="David" w:cs="David"/>
          <w:i/>
          <w:sz w:val="24"/>
          <w:szCs w:val="24"/>
          <w:rtl w:val="1"/>
        </w:rPr>
        <w:t>מיתוס ודרמה בגרמניה</w:t>
      </w:r>
      <w:r>
        <w:rPr>
          <w:rFonts w:ascii="David" w:hAnsi="David" w:cs="David"/>
          <w:i w:val="0"/>
          <w:sz w:val="24"/>
          <w:szCs w:val="24"/>
          <w:rtl w:val="1"/>
        </w:rPr>
        <w:t xml:space="preserve"> [סילבוס הקורס]. אוניברסיטת בר-אילן.</w:t>
      </w:r>
    </w:p>
    <w:p>
      <w:pPr>
        <w:bidi w:val="1"/>
        <w:spacing w:line="360" w:lineRule="auto" w:after="200"/>
        <w:ind w:left="709" w:hanging="709"/>
        <w:jc w:val="both"/>
      </w:pPr>
      <w:r>
        <w:rPr>
          <w:rFonts w:ascii="David" w:hAnsi="David" w:cs="David"/>
          <w:i w:val="0"/>
          <w:sz w:val="24"/>
          <w:szCs w:val="24"/>
          <w:rtl w:val="1"/>
        </w:rPr>
        <w:t xml:space="preserve">ברכט, ב' (2022). </w:t>
      </w:r>
      <w:r>
        <w:rPr>
          <w:rFonts w:ascii="David" w:hAnsi="David" w:cs="David"/>
          <w:i/>
          <w:sz w:val="24"/>
          <w:szCs w:val="24"/>
          <w:rtl w:val="1"/>
        </w:rPr>
        <w:t>אנטיגונה של סופוקלס: עיבוד לבמה בעקבות תרגומו של הלדרלין</w:t>
      </w:r>
      <w:r>
        <w:rPr>
          <w:rFonts w:ascii="David" w:hAnsi="David" w:cs="David"/>
          <w:i w:val="0"/>
          <w:sz w:val="24"/>
          <w:szCs w:val="24"/>
          <w:rtl w:val="1"/>
        </w:rPr>
        <w:t xml:space="preserve"> (ח' אלשטיין, מתרגם) [מהדורת במה]. (פורסם במקור בשנת 1948)</w:t>
      </w:r>
    </w:p>
    <w:p>
      <w:pPr>
        <w:bidi w:val="1"/>
        <w:spacing w:line="360" w:lineRule="auto" w:after="200"/>
        <w:ind w:left="709" w:hanging="709"/>
        <w:jc w:val="both"/>
      </w:pPr>
      <w:r>
        <w:rPr>
          <w:rFonts w:ascii="David" w:hAnsi="David" w:cs="David"/>
          <w:i w:val="0"/>
          <w:sz w:val="24"/>
          <w:szCs w:val="24"/>
          <w:rtl w:val="1"/>
        </w:rPr>
        <w:t xml:space="preserve">גיתה, י"ו (1981). </w:t>
      </w:r>
      <w:r>
        <w:rPr>
          <w:rFonts w:ascii="David" w:hAnsi="David" w:cs="David"/>
          <w:i/>
          <w:sz w:val="24"/>
          <w:szCs w:val="24"/>
          <w:rtl w:val="1"/>
        </w:rPr>
        <w:t>איפיגניה בטאוריס</w:t>
      </w:r>
      <w:r>
        <w:rPr>
          <w:rFonts w:ascii="David" w:hAnsi="David" w:cs="David"/>
          <w:i w:val="0"/>
          <w:sz w:val="24"/>
          <w:szCs w:val="24"/>
          <w:rtl w:val="1"/>
        </w:rPr>
        <w:t xml:space="preserve"> (י' כפכפי, מתרגם). דביר. (פורסם במקור בשנת 1787)</w:t>
      </w:r>
    </w:p>
    <w:p>
      <w:pPr>
        <w:bidi w:val="1"/>
        <w:spacing w:line="360" w:lineRule="auto" w:after="200"/>
        <w:ind w:left="709" w:hanging="709"/>
        <w:jc w:val="both"/>
      </w:pPr>
      <w:r>
        <w:rPr>
          <w:rFonts w:ascii="David" w:hAnsi="David" w:cs="David"/>
          <w:i w:val="0"/>
          <w:sz w:val="24"/>
          <w:szCs w:val="24"/>
          <w:rtl w:val="1"/>
        </w:rPr>
        <w:t xml:space="preserve">שו, ה' (2026, 31 במרץ). מדוע אנחנו אובססיביים לאנטיגונה? </w:t>
      </w:r>
      <w:r>
        <w:rPr>
          <w:rFonts w:ascii="David" w:hAnsi="David" w:cs="David"/>
          <w:i/>
          <w:sz w:val="24"/>
          <w:szCs w:val="24"/>
          <w:rtl w:val="1"/>
        </w:rPr>
        <w:t>הניו יורק טיימס</w:t>
      </w:r>
      <w:r>
        <w:rPr>
          <w:rFonts w:ascii="David" w:hAnsi="David" w:cs="David"/>
          <w:i w:val="0"/>
          <w:sz w:val="24"/>
          <w:szCs w:val="24"/>
          <w:rtl w:val="1"/>
        </w:rPr>
        <w:t>.</w:t>
      </w:r>
    </w:p>
    <w:p>
      <w:pPr>
        <w:spacing w:line="360" w:lineRule="auto" w:after="200"/>
        <w:ind w:left="709" w:hanging="709"/>
        <w:jc w:val="left"/>
      </w:pPr>
      <w:r>
        <w:rPr>
          <w:rFonts w:ascii="David" w:hAnsi="David" w:cs="David"/>
          <w:i w:val="0"/>
          <w:sz w:val="24"/>
          <w:szCs w:val="24"/>
        </w:rPr>
        <w:t xml:space="preserve">Zetti, R. (2017). Antigone's (mis)appropriations in twentieth-century Europe: Memory, politics and resistance. </w:t>
      </w:r>
      <w:r>
        <w:rPr>
          <w:rFonts w:ascii="David" w:hAnsi="David" w:cs="David"/>
          <w:i/>
          <w:sz w:val="24"/>
          <w:szCs w:val="24"/>
        </w:rPr>
        <w:t>Calíope: Presença Clássica, 34</w:t>
      </w:r>
      <w:r>
        <w:rPr>
          <w:rFonts w:ascii="David" w:hAnsi="David" w:cs="David"/>
          <w:i w:val="0"/>
          <w:sz w:val="24"/>
          <w:szCs w:val="24"/>
        </w:rPr>
        <w:t>.</w:t>
      </w:r>
      <w:r>
        <w:t xml:space="preserve"> </w:t>
      </w:r>
      <w:hyperlink r:id="rId9">
        <w:r>
          <w:rPr>
            <w:rFonts w:ascii="David" w:hAnsi="David" w:cs="David"/>
            <w:sz w:val="24"/>
            <w:szCs w:val="24"/>
            <w:color w:val="0563C1"/>
            <w:u w:val="single"/>
          </w:rPr>
          <w:t xml:space="preserve">https://revistas.ufrj.br/index.php/caliope/article/view/14551</w:t>
        </w:r>
      </w:hyperlink>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vistas.ufrj.br/index.php/caliope/article/view/145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