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1400" w:line="360"/>
        <w:jc w:val="center"/>
      </w:pPr>
      <w:r>
        <w:rPr>
          <w:rFonts w:ascii="David" w:cs="David" w:eastAsia="David" w:hAnsi="David"/>
          <w:b/>
          <w:bCs/>
          <w:sz w:val="28"/>
          <w:szCs w:val="28"/>
          <w:rtl/>
        </w:rPr>
        <w:t xml:space="preserve">המכללה האקדמית הערבית לחינוך בישראל, חיפה</w:t>
      </w:r>
    </w:p>
    <w:p>
      <w:pPr>
        <w:bidi/>
        <w:spacing w:after="900" w:before="0" w:line="360"/>
        <w:jc w:val="center"/>
      </w:pPr>
      <w:r>
        <w:rPr>
          <w:rFonts w:ascii="David" w:cs="David" w:eastAsia="David" w:hAnsi="David"/>
          <w:sz w:val="26"/>
          <w:szCs w:val="26"/>
          <w:rtl/>
        </w:rPr>
        <w:t xml:space="preserve">סמינריון בסיפורת עברית מודרנית: הסיפור הקצר מאת אתגר קרת</w:t>
      </w:r>
    </w:p>
    <w:p>
      <w:pPr>
        <w:bidi/>
        <w:spacing w:after="100" w:before="0" w:line="360"/>
        <w:jc w:val="center"/>
      </w:pPr>
      <w:r>
        <w:rPr>
          <w:rFonts w:ascii="David" w:cs="David" w:eastAsia="David" w:hAnsi="David"/>
          <w:b/>
          <w:bCs/>
          <w:sz w:val="36"/>
          <w:szCs w:val="36"/>
          <w:rtl/>
        </w:rPr>
        <w:t xml:space="preserve">"סתם קולות"</w:t>
      </w:r>
    </w:p>
    <w:p>
      <w:pPr>
        <w:bidi/>
        <w:spacing w:after="1200" w:before="0" w:line="360"/>
        <w:jc w:val="center"/>
      </w:pPr>
      <w:r>
        <w:rPr>
          <w:rFonts w:ascii="David" w:cs="David" w:eastAsia="David" w:hAnsi="David"/>
          <w:b/>
          <w:bCs/>
          <w:sz w:val="30"/>
          <w:szCs w:val="30"/>
          <w:rtl/>
        </w:rPr>
        <w:t xml:space="preserve">דרכי התמודדות עם קשיים בשני סיפורים קצרים מאת אתגר קרת: "האנשים החלולים" ו"מי כמונו יודע"</w:t>
      </w:r>
    </w:p>
    <w:p>
      <w:pPr>
        <w:bidi/>
        <w:spacing w:after="140" w:before="0" w:line="360"/>
        <w:jc w:val="center"/>
      </w:pPr>
      <w:r>
        <w:rPr>
          <w:rFonts w:ascii="David" w:cs="David" w:eastAsia="David" w:hAnsi="David"/>
          <w:sz w:val="26"/>
          <w:szCs w:val="26"/>
          <w:rtl/>
        </w:rPr>
        <w:t xml:space="preserve">שם הקורס: סמינריון בסיפורת עברית מודרנית</w:t>
      </w:r>
    </w:p>
    <w:p>
      <w:pPr>
        <w:bidi/>
        <w:spacing w:after="140" w:before="0" w:line="360"/>
        <w:jc w:val="center"/>
      </w:pPr>
      <w:r>
        <w:rPr>
          <w:rFonts w:ascii="David" w:cs="David" w:eastAsia="David" w:hAnsi="David"/>
          <w:sz w:val="26"/>
          <w:szCs w:val="26"/>
          <w:rtl/>
        </w:rPr>
        <w:t xml:space="preserve">שם המרצה: ד"ר ישראלה וייס</w:t>
      </w:r>
    </w:p>
    <w:p>
      <w:pPr>
        <w:bidi/>
        <w:spacing w:after="140" w:before="0" w:line="360"/>
        <w:jc w:val="center"/>
      </w:pPr>
      <w:r>
        <w:rPr>
          <w:rFonts w:ascii="David" w:cs="David" w:eastAsia="David" w:hAnsi="David"/>
          <w:sz w:val="26"/>
          <w:szCs w:val="26"/>
          <w:rtl/>
        </w:rPr>
        <w:t xml:space="preserve">שם הסטודנט/ית: ____________________</w:t>
      </w:r>
    </w:p>
    <w:p>
      <w:pPr>
        <w:bidi/>
        <w:spacing w:after="140" w:before="0" w:line="360"/>
        <w:jc w:val="center"/>
      </w:pPr>
      <w:r>
        <w:rPr>
          <w:rFonts w:ascii="David" w:cs="David" w:eastAsia="David" w:hAnsi="David"/>
          <w:sz w:val="26"/>
          <w:szCs w:val="26"/>
          <w:rtl/>
        </w:rPr>
        <w:t xml:space="preserve">ת"ז: ____________________</w:t>
      </w:r>
    </w:p>
    <w:p>
      <w:pPr>
        <w:bidi/>
        <w:spacing w:after="140" w:before="0" w:line="360"/>
        <w:jc w:val="center"/>
      </w:pPr>
      <w:r>
        <w:rPr>
          <w:rFonts w:ascii="David" w:cs="David" w:eastAsia="David" w:hAnsi="David"/>
          <w:sz w:val="26"/>
          <w:szCs w:val="26"/>
          <w:rtl/>
        </w:rPr>
        <w:t xml:space="preserve">תאריך הגשה: ____________________</w:t>
      </w:r>
    </w:p>
    <w:p>
      <w:r>
        <w:br w:type="page"/>
      </w:r>
    </w:p>
    <w:p>
      <w:pPr>
        <w:pStyle w:val="Heading1"/>
        <w:bidi/>
        <w:spacing w:after="200" w:before="360" w:line="360"/>
        <w:jc w:val="right"/>
      </w:pPr>
      <w:r>
        <w:rPr>
          <w:rFonts w:ascii="David" w:cs="David" w:eastAsia="David" w:hAnsi="David"/>
          <w:b/>
          <w:bCs/>
          <w:sz w:val="32"/>
          <w:szCs w:val="32"/>
          <w:rtl/>
        </w:rPr>
        <w:t xml:space="preserve">מבוא</w:t>
      </w:r>
    </w:p>
    <w:p>
      <w:pPr>
        <w:pStyle w:val="Heading2"/>
        <w:bidi/>
        <w:spacing w:after="120" w:before="240" w:line="360"/>
        <w:jc w:val="right"/>
      </w:pPr>
      <w:r>
        <w:rPr>
          <w:rFonts w:ascii="David" w:cs="David" w:eastAsia="David" w:hAnsi="David"/>
          <w:b/>
          <w:bCs/>
          <w:sz w:val="28"/>
          <w:szCs w:val="28"/>
          <w:rtl/>
        </w:rPr>
        <w:t xml:space="preserve">הסיפור העברי הקצר</w:t>
      </w:r>
    </w:p>
    <w:p>
      <w:pPr>
        <w:bidi/>
        <w:spacing w:after="120" w:line="360"/>
        <w:jc w:val="both"/>
      </w:pPr>
      <w:r>
        <w:rPr>
          <w:rFonts w:ascii="David" w:cs="David" w:eastAsia="David" w:hAnsi="David"/>
          <w:sz w:val="24"/>
          <w:szCs w:val="24"/>
          <w:rtl/>
        </w:rPr>
        <w:t xml:space="preserve">הסיפור הקצר מלווה את הסיפורת העברית מראשיתה, אבל בשנות התשעים של המאה העשרים הוא קיבל צורה חדשה. לצד הרומן הופיעו קבצים של סיפורים קצרצרים, באורך של עמוד או שניים, שנכתבו בשפה דיבורית ופנו אל קוראים צעירים. הולצמן (2005) משרטט את מפת הסיפורת הישראלית של שנות התשעים והאלפיים כמפה שבה נחלש הסיפור הלאומי הגדול והתרבו קולות פרטיים, קטנים ומפוצלים. הסיפור הקצרצר התאים לתנועה הזאת. הוא מתמקד ברגע אחד, בדמות אחת ובמפנה אחד, ואת המשמעות הוא משאיר בידי הקורא. מה שהרומן מסביר, הסיפור הקצר מראה ושותק.</w:t>
      </w:r>
    </w:p>
    <w:p>
      <w:pPr>
        <w:bidi/>
        <w:spacing w:after="120" w:line="360"/>
        <w:jc w:val="both"/>
      </w:pPr>
      <w:r>
        <w:rPr>
          <w:rFonts w:ascii="David" w:cs="David" w:eastAsia="David" w:hAnsi="David"/>
          <w:sz w:val="24"/>
          <w:szCs w:val="24"/>
          <w:rtl/>
        </w:rPr>
        <w:t xml:space="preserve">הסיפור הקצר גם מתאים במיוחד לעיסוק בהתמודדות. הוא אינו עוקב אחרי תהליך ארוך של שינוי אלא תופס את האדם ברגע שבו הוא מגיב לקושי, ולכן הוא חושף את דרך ההתמודדות עצמה: מה הדמות עושה, מה היא אומרת לעצמה, ומה זה עולה לה. שני הסיפורים שנבחרו לעבודה זו הם רגעים כאלה.</w:t>
      </w:r>
    </w:p>
    <w:p>
      <w:pPr>
        <w:pStyle w:val="Heading2"/>
        <w:bidi/>
        <w:spacing w:after="120" w:before="240" w:line="360"/>
        <w:jc w:val="right"/>
      </w:pPr>
      <w:r>
        <w:rPr>
          <w:rFonts w:ascii="David" w:cs="David" w:eastAsia="David" w:hAnsi="David"/>
          <w:b/>
          <w:bCs/>
          <w:sz w:val="28"/>
          <w:szCs w:val="28"/>
          <w:rtl/>
        </w:rPr>
        <w:t xml:space="preserve">סגנון כתיבתו של אתגר קרת</w:t>
      </w:r>
    </w:p>
    <w:p>
      <w:pPr>
        <w:bidi/>
        <w:spacing w:after="120" w:line="360"/>
        <w:jc w:val="both"/>
      </w:pPr>
      <w:r>
        <w:rPr>
          <w:rFonts w:ascii="David" w:cs="David" w:eastAsia="David" w:hAnsi="David"/>
          <w:sz w:val="24"/>
          <w:szCs w:val="24"/>
          <w:rtl/>
        </w:rPr>
        <w:t xml:space="preserve">אתגר קרת, יליד 1967, פרסם את קובץ סיפוריו הראשון, צינורות, ב-1992, ואת השני, געגועי לקיסינג'ר, ב-1994. מאז ראו אור קבצים נוספים, וספרו האחרון, אוטוקורקט, יצא ב-2024. סיפוריו תורגמו לעשרות שפות, והוא נעשה לסופר הישראלי המזוהה ביותר עם הסיפור הקצרצר. אומר-שרמן (Omer-Sherman, 2020) מזכיר שקרת גדל בבית של ניצולי שואה, ושהסיפורים שסיפרו לו הוריו בילדותו הם המקור הן לפחד והן להומור שבכתיבתו. אברמוביץ' (Abramovich, 2019) מראה כיצד זיכרון השואה מופיע בסיפוריו לא כטקס ממלכתי אלא כחוויה פרטית, לעתים מביכה, של ילד או נער.</w:t>
      </w:r>
    </w:p>
    <w:p>
      <w:pPr>
        <w:bidi/>
        <w:spacing w:after="120" w:line="360"/>
        <w:jc w:val="both"/>
      </w:pPr>
      <w:r>
        <w:rPr>
          <w:rFonts w:ascii="David" w:cs="David" w:eastAsia="David" w:hAnsi="David"/>
          <w:sz w:val="24"/>
          <w:szCs w:val="24"/>
          <w:rtl/>
        </w:rPr>
        <w:t xml:space="preserve">המחקר על קרת חוזר אל כמה מאפיינים של סגנונו. הראשון הוא הקול: מספר בגוף ראשון, לרוב ילד או אדם צעיר, שמדבר בפשטות על דברים שאינם פשוטים. השני הוא שילוב של הפנטסטי בתוך היומיומי. דבר מוזר מתרחש, אנשים בלי גוף דופקים בדלת או שני זרים חולקים לב אחד, והדמויות מקבלות אותו כמובן מאליו. מנדלסון-מעוז (Mendelson-Maoz, 2018) מתארת את הדמויות של קרת שנמצאות בין החיים למוות, "מתים-חיים", ככלי שבאמצעותו הוא בוחן את הקורבן ואת הגבריות בחברה הישראלית. השלישי הוא ההומור. שוורץ (Schwartz, 2018) טוען שההומור של קרת אינו בריחה מן הכאב אלא דרך לחיות לצדו, ושהמילה "סתם", החוזרת בסיפוריו, מבטאת עמדה שאינה קורבנית: מה שאי אפשר לשנות אפשר לפחות להקטין. קצמן (2005) מוסיף מאפיין רביעי, געגוע למיתוס. דמויותיו של קרת, לדבריו, בונות לעצמן עולם קטן בעל חוקים משלו, במקום העולם הגדול שאיבד את סדרו, והבחירה הזאת היא בחירה אתית ולא רק סגנונית.</w:t>
      </w:r>
    </w:p>
    <w:p>
      <w:pPr>
        <w:bidi/>
        <w:spacing w:after="120" w:line="360"/>
        <w:jc w:val="both"/>
      </w:pPr>
      <w:r>
        <w:rPr>
          <w:rFonts w:ascii="David" w:cs="David" w:eastAsia="David" w:hAnsi="David"/>
          <w:sz w:val="24"/>
          <w:szCs w:val="24"/>
          <w:rtl/>
        </w:rPr>
        <w:t xml:space="preserve">ארבעת המאפיינים האלה נוגעים ישירות לנושא העבודה. הקול הילדי, הפנטזיה, ההומור והמיתוס הפרטי אינם רק אמצעים ספרותיים. בסיפוריו של קרת הם דרכי ההתמודדות של הדמויות עצמן.</w:t>
      </w:r>
    </w:p>
    <w:p>
      <w:pPr>
        <w:pStyle w:val="Heading2"/>
        <w:bidi/>
        <w:spacing w:after="120" w:before="240" w:line="360"/>
        <w:jc w:val="right"/>
      </w:pPr>
      <w:r>
        <w:rPr>
          <w:rFonts w:ascii="David" w:cs="David" w:eastAsia="David" w:hAnsi="David"/>
          <w:b/>
          <w:bCs/>
          <w:sz w:val="28"/>
          <w:szCs w:val="28"/>
          <w:rtl/>
        </w:rPr>
        <w:t xml:space="preserve">שני הסיפורים והנושא המשותף</w:t>
      </w:r>
    </w:p>
    <w:p>
      <w:pPr>
        <w:bidi/>
        <w:spacing w:after="120" w:line="360"/>
        <w:jc w:val="both"/>
      </w:pPr>
      <w:r>
        <w:rPr>
          <w:rFonts w:ascii="David" w:cs="David" w:eastAsia="David" w:hAnsi="David"/>
          <w:sz w:val="24"/>
          <w:szCs w:val="24"/>
          <w:rtl/>
        </w:rPr>
        <w:t xml:space="preserve">העבודה עוסקת בשני סיפורים משני קצות דרכו של קרת. "האנשים החלולים", מן הקובץ געגועי לקיסינג'ר (קרת, 1994), הוא סיפור מוקדם: ילד מספר על בית שאליו מגיעים אנשים שדופקים בדלת, על אב שאינו פותח ולוחש לו שאין ממה לפחד כי אלה "סתם קולות", ועל מות האם והאב. "מי כמונו יודע", מן הקובץ אוטוקורקט (קרת, 2024), הוא סיפור מאוחר: סופר יושב בבית קפה מול סופר אמריקאי שאיבד ילד, התגרש והחליף את חייו במינימליזם, ושפותח כל משפט שני במילים "ומי כמונו יודע". הסיפור הראשון מסתיים בשתיקה על קבר, והשני בהחלטה לכתוב סיפור על צוואר שנתפס.</w:t>
      </w:r>
    </w:p>
    <w:p>
      <w:pPr>
        <w:bidi/>
        <w:spacing w:after="120" w:line="360"/>
        <w:jc w:val="both"/>
      </w:pPr>
      <w:r>
        <w:rPr>
          <w:rFonts w:ascii="David" w:cs="David" w:eastAsia="David" w:hAnsi="David"/>
          <w:sz w:val="24"/>
          <w:szCs w:val="24"/>
          <w:rtl/>
        </w:rPr>
        <w:t xml:space="preserve">הנושא המשותף לשני הסיפורים הוא דרכי ההתמודדות עם קשיים. בשניהם הדמויות ניצבות מול דבר שאינו ניתן לשינוי, איום מתמשך או אובדן, ובשניהם הן אינן פותרות אותו אלא מוצאות דרך לחיות לצדו: הסתגרות ולחישה בסיפור האחד, דיבור, אידאולוגיה וכתיבה בסיפור האחר. בתוך הנושא הזה בולטים שני היבטים. הראשון הוא יחסי אב ובן, ממשיים בסיפור המוקדם ומשוחזרים בין זרים בסיפור המאוחר, שדרכם עוברות דרכי ההתמודדות מדור לדור. השני הוא אשמה וחרטה, שמופיעות בשני הסיפורים בסיום, בווידוי שקט של המספר. שני הסיפורים נבחרו יחד דווקא משום שהם דומים במבנה ושונים בתוצאה, ושלושים השנים שביניהם מאפשרות לשאול מה השתנה בדרך שבה קרת מתאר התמודדות.</w:t>
      </w:r>
    </w:p>
    <w:p>
      <w:pPr>
        <w:pStyle w:val="Heading2"/>
        <w:bidi/>
        <w:spacing w:after="120" w:before="240" w:line="360"/>
        <w:jc w:val="right"/>
      </w:pPr>
      <w:r>
        <w:rPr>
          <w:rFonts w:ascii="David" w:cs="David" w:eastAsia="David" w:hAnsi="David"/>
          <w:b/>
          <w:bCs/>
          <w:sz w:val="28"/>
          <w:szCs w:val="28"/>
          <w:rtl/>
        </w:rPr>
        <w:t xml:space="preserve">שאלות המחקר</w:t>
      </w:r>
    </w:p>
    <w:p>
      <w:pPr>
        <w:bidi/>
        <w:spacing w:after="120" w:line="360"/>
        <w:jc w:val="both"/>
      </w:pPr>
      <w:r>
        <w:rPr>
          <w:rFonts w:ascii="David" w:cs="David" w:eastAsia="David" w:hAnsi="David"/>
          <w:sz w:val="24"/>
          <w:szCs w:val="24"/>
          <w:rtl/>
        </w:rPr>
        <w:t xml:space="preserve">העבודה מבקשת להשיב על שלוש שאלות:</w:t>
      </w:r>
    </w:p>
    <w:p>
      <w:pPr>
        <w:bidi/>
        <w:spacing w:after="80" w:line="360"/>
        <w:ind w:left="720"/>
        <w:jc w:val="both"/>
      </w:pPr>
      <w:r>
        <w:rPr>
          <w:rFonts w:ascii="David" w:cs="David" w:eastAsia="David" w:hAnsi="David"/>
          <w:sz w:val="24"/>
          <w:szCs w:val="24"/>
          <w:rtl/>
        </w:rPr>
        <w:t xml:space="preserve">א. אילו קשיים ניצבים בפני הדמויות בשני הסיפורים, ואילו דרכי התמודדות (ממוקדות בעיה, ממוקדות רגש והימנעות) הן נוקטות?</w:t>
      </w:r>
    </w:p>
    <w:p>
      <w:pPr>
        <w:bidi/>
        <w:spacing w:after="80" w:line="360"/>
        <w:ind w:left="720"/>
        <w:jc w:val="both"/>
      </w:pPr>
      <w:r>
        <w:rPr>
          <w:rFonts w:ascii="David" w:cs="David" w:eastAsia="David" w:hAnsi="David"/>
          <w:sz w:val="24"/>
          <w:szCs w:val="24"/>
          <w:rtl/>
        </w:rPr>
        <w:t xml:space="preserve">ב. כיצד משמשים השפה, הפנטזיה וההומור כאמצעי התמודדות, אצל הדמויות ואצל המספר, ומה ההבדל בין הסיפור המוקדם למאוחר?</w:t>
      </w:r>
    </w:p>
    <w:p>
      <w:pPr>
        <w:bidi/>
        <w:spacing w:after="160" w:line="360"/>
        <w:ind w:left="720"/>
        <w:jc w:val="both"/>
      </w:pPr>
      <w:r>
        <w:rPr>
          <w:rFonts w:ascii="David" w:cs="David" w:eastAsia="David" w:hAnsi="David"/>
          <w:sz w:val="24"/>
          <w:szCs w:val="24"/>
          <w:rtl/>
        </w:rPr>
        <w:t xml:space="preserve">ג. מה תפקידו של האחר, האב או הזר, בהתמודדות, ומה מחירה של ההתמודדות: הגנה או ריקון?</w:t>
      </w:r>
    </w:p>
    <w:p>
      <w:pPr>
        <w:bidi/>
        <w:spacing w:after="120" w:line="360"/>
        <w:jc w:val="both"/>
      </w:pPr>
      <w:r>
        <w:rPr>
          <w:rFonts w:ascii="David" w:cs="David" w:eastAsia="David" w:hAnsi="David"/>
          <w:sz w:val="24"/>
          <w:szCs w:val="24"/>
          <w:rtl/>
        </w:rPr>
        <w:t xml:space="preserve">השאלות ייבחנו בקריאה צמודה של שני הסיפורים, בשילוב מודלים מן הפסיכולוגיה של ההתמודדות והאבל: המודל של לזרוס ופולקמן על לחץ והתמודדות (Lazarus &amp; Folkman, 1984), המודל הדו-מסלולי של רובין על שכול (Rubin, 1999), ומחקרה של כהן על אבל ותקשורת במשפחה אחרי מות ילד (כהן, 2015). המודלים אינם באים להחליף את הקריאה הספרותית אלא לתת לה שפה מדויקת לתיאור מה שהדמויות עושות.</w:t>
      </w:r>
    </w:p>
    <w:p>
      <w:pPr>
        <w:pStyle w:val="Heading2"/>
        <w:bidi/>
        <w:spacing w:after="120" w:before="240" w:line="360"/>
        <w:jc w:val="right"/>
      </w:pPr>
      <w:r>
        <w:rPr>
          <w:rFonts w:ascii="David" w:cs="David" w:eastAsia="David" w:hAnsi="David"/>
          <w:b/>
          <w:bCs/>
          <w:sz w:val="28"/>
          <w:szCs w:val="28"/>
          <w:rtl/>
        </w:rPr>
        <w:t xml:space="preserve">מבנה העבודה</w:t>
      </w:r>
    </w:p>
    <w:p>
      <w:pPr>
        <w:bidi/>
        <w:spacing w:after="120" w:line="360"/>
        <w:jc w:val="both"/>
      </w:pPr>
      <w:r>
        <w:rPr>
          <w:rFonts w:ascii="David" w:cs="David" w:eastAsia="David" w:hAnsi="David"/>
          <w:sz w:val="24"/>
          <w:szCs w:val="24"/>
          <w:rtl/>
        </w:rPr>
        <w:t xml:space="preserve">פרק 1 מציג את הרקע התאורטי: התמודדות עם לחץ, אובדן ושכול, הורשה בין-דורית והפואטיקה של קרת. פרק 2 מנתח את "האנשים החלולים" ופרק 3 את "מי כמונו יודע", כל אחד לפי דרכי ההתמודדות שבו ומחירן. פרק 4 משווה בין הסיפורים ומסכם את הממצאים בטבלה מול שאלות המחקר. אחריהם באים הדיון, הסיכום והמסקנות, הרפלקציה, ובנספחים שני הסיפורים.</w:t>
      </w:r>
    </w:p>
    <w:p>
      <w:r>
        <w:br w:type="page"/>
      </w:r>
    </w:p>
    <w:p>
      <w:pPr>
        <w:pStyle w:val="Heading1"/>
        <w:bidi/>
        <w:spacing w:after="200" w:before="360" w:line="360"/>
        <w:jc w:val="right"/>
      </w:pPr>
      <w:r>
        <w:rPr>
          <w:rFonts w:ascii="David" w:cs="David" w:eastAsia="David" w:hAnsi="David"/>
          <w:b/>
          <w:bCs/>
          <w:sz w:val="32"/>
          <w:szCs w:val="32"/>
          <w:rtl/>
        </w:rPr>
        <w:t xml:space="preserve">פרק 2: "האנשים החלולים": הסתגרות, לחישה ושתיקה כדרכי התמודדות</w:t>
      </w:r>
    </w:p>
    <w:p>
      <w:pPr>
        <w:pStyle w:val="Heading2"/>
        <w:bidi/>
        <w:spacing w:after="120" w:before="240" w:line="360"/>
        <w:jc w:val="right"/>
      </w:pPr>
      <w:r>
        <w:rPr>
          <w:rFonts w:ascii="David" w:cs="David" w:eastAsia="David" w:hAnsi="David"/>
          <w:b/>
          <w:bCs/>
          <w:sz w:val="28"/>
          <w:szCs w:val="28"/>
          <w:rtl/>
        </w:rPr>
        <w:t xml:space="preserve">2.1 תקציר הסיפור ומבנהו</w:t>
      </w:r>
    </w:p>
    <w:p>
      <w:pPr>
        <w:bidi/>
        <w:spacing w:after="120" w:line="360"/>
        <w:jc w:val="both"/>
      </w:pPr>
      <w:r>
        <w:rPr>
          <w:rFonts w:ascii="David" w:cs="David" w:eastAsia="David" w:hAnsi="David"/>
          <w:sz w:val="24"/>
          <w:szCs w:val="24"/>
          <w:rtl/>
        </w:rPr>
        <w:t xml:space="preserve">"האנשים החלולים" הוא סיפור קצר מתוך הקובץ געגועי לקיסינג'ר (קרת, 1994). המספר, גבר בוגר, נזכר בילדותו בבית שבו גדל עם אביו ואמו. אל הבית היו מגיעים אנשים שדפקו על הדלת "בפראות", והאב היה מביט בעינית ואינו פותח. כדי להרגיע את הילד היה האב נשכב לידו על השטיח, נשען בגבו על דופן הפסנתר, מחבק אותו ולוחש שאין ממה לפחד, כי הדופקים הם "האנשים החלולים", קולות בלי גוף. הקולות שבחוץ חזרו על דבריו של האב, הקיפו את הבית וניסו לפתוח את התריסים, והאב והבן הסתתרו בפינה. בהמשך מתה האם, "בלי קול אבל עם גוף", ואל הלוויה הביאו האב והבן איש שיבכה עליה, והאב הראה לבן בספר איזה בכיות יבכה, כי גם האיש הזה היה מהם. אחר כך מת גם האב, באותה פינה ליד הפסנתר, כשהבן מחבק אותו. בסיום עומד הבן מול הקבר ושותק, "כי בסופו של דבר גם אני, כנראה, הייתי אחד מהם" (קרת, 1994, נספח א, עמ' 3).</w:t>
      </w:r>
    </w:p>
    <w:p>
      <w:pPr>
        <w:bidi/>
        <w:spacing w:after="120" w:line="360"/>
        <w:jc w:val="both"/>
      </w:pPr>
      <w:r>
        <w:rPr>
          <w:rFonts w:ascii="David" w:cs="David" w:eastAsia="David" w:hAnsi="David"/>
          <w:sz w:val="24"/>
          <w:szCs w:val="24"/>
          <w:rtl/>
        </w:rPr>
        <w:t xml:space="preserve">הסיפור נמסר כזיכרון בגוף ראשון, בזמן עבר, ומנקודת מבטו של ילד שהתבגר. המבנה הזה יוצר פער בין מה שהילד הבין אז לבין מה שהמבוגר מבין היום, והפער הוא מקור המשמעות. הסיפור נמנע מהסבר: מי הדופקים, מה הם רוצים מ"שיפמן", מדוע האב אינו פותח. הקורא נותר עם התגובות בלבד. קצמן (2005) מתאר את עולמו של קרת כעולם שבו הדמויות בונות לעצמן סדר פרטי, מעין מיתוס קטן, במקום הסדר הציבורי שקרס. הבית הסגור בסיפור הוא סדר כזה: יש בו חוקים ברורים (לא פותחים, לא מפחדים, מתחבאים בפינה), ויש בו הסבר לכל דבר, גם אם ההסבר הוא "סתם קולות".</w:t>
      </w:r>
    </w:p>
    <w:p>
      <w:pPr>
        <w:pStyle w:val="Heading2"/>
        <w:bidi/>
        <w:spacing w:after="120" w:before="240" w:line="360"/>
        <w:jc w:val="right"/>
      </w:pPr>
      <w:r>
        <w:rPr>
          <w:rFonts w:ascii="David" w:cs="David" w:eastAsia="David" w:hAnsi="David"/>
          <w:b/>
          <w:bCs/>
          <w:sz w:val="28"/>
          <w:szCs w:val="28"/>
          <w:rtl/>
        </w:rPr>
        <w:t xml:space="preserve">2.2 הקושי: פחד, פלישה ובדידות</w:t>
      </w:r>
    </w:p>
    <w:p>
      <w:pPr>
        <w:bidi/>
        <w:spacing w:after="120" w:line="360"/>
        <w:jc w:val="both"/>
      </w:pPr>
      <w:r>
        <w:rPr>
          <w:rFonts w:ascii="David" w:cs="David" w:eastAsia="David" w:hAnsi="David"/>
          <w:sz w:val="24"/>
          <w:szCs w:val="24"/>
          <w:rtl/>
        </w:rPr>
        <w:t xml:space="preserve">הקושי שבמרכז הסיפור הוא איום מתמשך על הבית. הקולות חוזרים, אחרי לחישתו של האב, על קריאה בשם: "שיפמן, תפתח את הדלת. אנחנו יודעים שאתה שם" (קרת, 1994, נספח א, עמ' 1). האיום אינו מוסבר, ודווקא לכן הוא מאיים: על פי המודל של לזרוס ופולקמן, לחץ נוצר כאשר האדם מעריך מצב כמסוכן וכעולה על המשאבים העומדים לרשותו, ובשלב ההערכה הראשונית הוא שואל מה עלול לקרות לו (Lazarus &amp; Folkman, 1984). בבית של שיפמן אין תשובה לשאלה הזאת, ולכן הפחד אינו נגמר. הילד מודה בפשטות: "ואני הייתי קצת מפחד מהם" (קרת, 1994, נספח א, עמ' 1).</w:t>
      </w:r>
    </w:p>
    <w:p>
      <w:pPr>
        <w:bidi/>
        <w:spacing w:after="120" w:line="360"/>
        <w:jc w:val="both"/>
      </w:pPr>
      <w:r>
        <w:rPr>
          <w:rFonts w:ascii="David" w:cs="David" w:eastAsia="David" w:hAnsi="David"/>
          <w:sz w:val="24"/>
          <w:szCs w:val="24"/>
          <w:rtl/>
        </w:rPr>
        <w:t xml:space="preserve">לצד הפחד יש בדידות. בסיפור אין שכנים, אין משטרה, אין קרובים. יש רק אב, אם וילד, והאם שותקת לאורך כל הסיפור. הסיפור עצמו מעמיד את שתיקתה מול הקולות שבחוץ: האנשים החלולים הם קול בלי גוף, והאם היא גוף בלי קול. המשפחה מתקיימת בין שני הקצוות האלה, ומי שמחזיק אותה יחד הוא האב, בעזרת הלחישה והחיבוק. אומר-שרמן (Omer-Sherman, 2020) מזכיר כי קרת גדל בבית של ניצולי שואה, שבו הפחד היה נוכח בלי שיוסבר, ושהסיפורים של ההורים היו הדרך שבה הועבר הפחד וגם הדרך שבה הוא הורגע. הבית של שיפמן פועל באותו אופן: הפחד נמסר יחד עם ההסבר שאמור לפרק אותו.</w:t>
      </w:r>
    </w:p>
    <w:p>
      <w:pPr>
        <w:pStyle w:val="Heading2"/>
        <w:bidi/>
        <w:spacing w:after="120" w:before="240" w:line="360"/>
        <w:jc w:val="right"/>
      </w:pPr>
      <w:r>
        <w:rPr>
          <w:rFonts w:ascii="David" w:cs="David" w:eastAsia="David" w:hAnsi="David"/>
          <w:b/>
          <w:bCs/>
          <w:sz w:val="28"/>
          <w:szCs w:val="28"/>
          <w:rtl/>
        </w:rPr>
        <w:t xml:space="preserve">2.3 דרכי ההתמודדות של האב</w:t>
      </w:r>
    </w:p>
    <w:p>
      <w:pPr>
        <w:bidi/>
        <w:spacing w:after="120" w:line="360"/>
        <w:jc w:val="both"/>
      </w:pPr>
      <w:r>
        <w:rPr>
          <w:rFonts w:ascii="David" w:cs="David" w:eastAsia="David" w:hAnsi="David"/>
          <w:sz w:val="24"/>
          <w:szCs w:val="24"/>
          <w:rtl/>
        </w:rPr>
        <w:t xml:space="preserve">האב נוקט שלוש דרכי התמודדות, ואף אחת מהן אינה פותרת את הבעיה. הראשונה היא הימנעות: הדלת נעולה, התריסים סגורים, והמקום הבטוח הוא פינה ליד הפסנתר. לזרוס ופולקמן מבחינים בין התמודדות ממוקדת בעיה, המכוונת לשנות את המצב עצמו, לבין התמודדות ממוקדת רגש, המכוונת לווסת את התחושה שהמצב מעורר (Lazarus &amp; Folkman, 1984). האב אינו מנסה לברר מי דופק, אינו פותח ואינו מבקש עזרה. כל מעשיו שייכים לסוג השני.</w:t>
      </w:r>
    </w:p>
    <w:p>
      <w:pPr>
        <w:bidi/>
        <w:spacing w:after="120" w:line="360"/>
        <w:jc w:val="both"/>
      </w:pPr>
      <w:r>
        <w:rPr>
          <w:rFonts w:ascii="David" w:cs="David" w:eastAsia="David" w:hAnsi="David"/>
          <w:sz w:val="24"/>
          <w:szCs w:val="24"/>
          <w:rtl/>
        </w:rPr>
        <w:t xml:space="preserve">הדרך השנייה היא הסבר מחדש של המציאות. "אל תפחד," הוא לוחש, "אין ממה לפחד, זה בסך הכול האנשים החלולים", ובהמשך: "הם אנשים חלולים, בלי גוף, בלי כלום, סתם קולות" (קרת, 1994, נספח א, עמ' 1-2). זוהי הערכה מחודשת במובן המדויק של המושג: האיום אינו משתנה, אבל המשמעות שלו משתנה, ומי שאין לו גוף אינו יכול לפגוע. שוורץ (Schwartz, 2018) רואה במילה "סתם" מפתח להומור של קרת: היא מרוקנת את הדברים מכובדם ומאפשרת לדמויות לחיות לצד מה שאי אפשר לשנות. האב משתמש במילה הזאת ככלי חינוכי, והילד לומד להשתמש בה בעצמו.</w:t>
      </w:r>
    </w:p>
    <w:p>
      <w:pPr>
        <w:bidi/>
        <w:spacing w:after="120" w:line="360"/>
        <w:jc w:val="both"/>
      </w:pPr>
      <w:r>
        <w:rPr>
          <w:rFonts w:ascii="David" w:cs="David" w:eastAsia="David" w:hAnsi="David"/>
          <w:sz w:val="24"/>
          <w:szCs w:val="24"/>
          <w:rtl/>
        </w:rPr>
        <w:t xml:space="preserve">הדרך השלישית היא הגוף. האב "נשען עם הגב שלו על דופן הפסנתר ומחבק אותי חזק-חזק", והלחישה נאמרת "באוזן" (קרת, 1994, נספח א, עמ' 1). הוויסות הרגשי אינו נעשה רק במילים אלא במגע, ובמובן זה ההתמודדות היא משותפת: האב מרגיע את הילד, והילד, שנמצא בזרועותיו, מאפשר לאב להיות מי שאינו מפחד. כל שלוש הדרכים שומרות על שני האנשים בחיים ובתוך הבית. אף אחת מהן אינה מוציאה אותם ממנו.</w:t>
      </w:r>
    </w:p>
    <w:p>
      <w:pPr>
        <w:pStyle w:val="Heading2"/>
        <w:bidi/>
        <w:spacing w:after="120" w:before="240" w:line="360"/>
        <w:jc w:val="right"/>
      </w:pPr>
      <w:r>
        <w:rPr>
          <w:rFonts w:ascii="David" w:cs="David" w:eastAsia="David" w:hAnsi="David"/>
          <w:b/>
          <w:bCs/>
          <w:sz w:val="28"/>
          <w:szCs w:val="28"/>
          <w:rtl/>
        </w:rPr>
        <w:t xml:space="preserve">2.4 יחסי אב ובן: הורשת הפחד והורשת ההתמודדות</w:t>
      </w:r>
    </w:p>
    <w:p>
      <w:pPr>
        <w:bidi/>
        <w:spacing w:after="120" w:line="360"/>
        <w:jc w:val="both"/>
      </w:pPr>
      <w:r>
        <w:rPr>
          <w:rFonts w:ascii="David" w:cs="David" w:eastAsia="David" w:hAnsi="David"/>
          <w:sz w:val="24"/>
          <w:szCs w:val="24"/>
          <w:rtl/>
        </w:rPr>
        <w:t xml:space="preserve">הלחישה של האב היא גם שיעור. הבן לומד לחזות את הקולות: "ואבא היה ממלמל לי בשקט באוזן והם היו ממלמלים בחוץ אחריו, כמו הד", ובהמשך "לפעמים אבא היה אומר את מה שיגידו ולפעמים אני" (קרת, 1994, נספח א, עמ' 1-2). נוצרת שרשרת של הדים: הקולות חוזרים על האב, הבן חוזר על האב, ובסוף הבן חוזר על הקולות. ההתמודדות עוברת מדור לדור באותה דרך שבה עובר הפחד.</w:t>
      </w:r>
    </w:p>
    <w:p>
      <w:pPr>
        <w:bidi/>
        <w:spacing w:after="120" w:line="360"/>
        <w:jc w:val="both"/>
      </w:pPr>
      <w:r>
        <w:rPr>
          <w:rFonts w:ascii="David" w:cs="David" w:eastAsia="David" w:hAnsi="David"/>
          <w:sz w:val="24"/>
          <w:szCs w:val="24"/>
          <w:rtl/>
        </w:rPr>
        <w:t xml:space="preserve">הדפוס הזה מוכר ממחקרים על הדור השני והשלישי לשואה בכתיבתו של קרת. אומר-שרמן מראה כיצד סיפורי ההורים בבית של קרת הפכו לחומר שממנו נבנית הזהות של הבן, וכיצד ההומור והפנטזיה משמשים את הבן כדי לשאת את מה שקיבל (Omer-Sherman, 2020). אברמוביץ' מוסיף שגיבוריו הצעירים של קרת יורשים לא רק זיכרון אלא גם תחושת אשמה כלפי הדור שקדם להם, ושהסיפורים מפרקים את הזיכרון הרשמי לטובת זיכרון פרטי ומבולבל (Abramovich, 2019). ב"האנשים החלולים" האשמה מופיעה בעדינות. המספר הבוגר מתפלא "על זה שפעם פחדתי כל-כך" (קרת, 1994, נספח א, עמ' 2), כאילו הפחד היה חולשה שיש להתבייש בה, ובסיום הוא שותק על הקבר. השתיקה היא גם חרטה: הבן שהאב חיבק "כשעוד פחדתי" לא הצליח להשיב לאב את מה שקיבל ממנו.</w:t>
      </w:r>
    </w:p>
    <w:p>
      <w:pPr>
        <w:pStyle w:val="Heading2"/>
        <w:bidi/>
        <w:spacing w:after="120" w:before="240" w:line="360"/>
        <w:jc w:val="right"/>
      </w:pPr>
      <w:r>
        <w:rPr>
          <w:rFonts w:ascii="David" w:cs="David" w:eastAsia="David" w:hAnsi="David"/>
          <w:b/>
          <w:bCs/>
          <w:sz w:val="28"/>
          <w:szCs w:val="28"/>
          <w:rtl/>
        </w:rPr>
        <w:t xml:space="preserve">2.5 התמודדות עם אובדן: מות האם ומות האב</w:t>
      </w:r>
    </w:p>
    <w:p>
      <w:pPr>
        <w:bidi/>
        <w:spacing w:after="120" w:line="360"/>
        <w:jc w:val="both"/>
      </w:pPr>
      <w:r>
        <w:rPr>
          <w:rFonts w:ascii="David" w:cs="David" w:eastAsia="David" w:hAnsi="David"/>
          <w:sz w:val="24"/>
          <w:szCs w:val="24"/>
          <w:rtl/>
        </w:rPr>
        <w:t xml:space="preserve">מותה של האם מתואר במשפט אחד: "ואמא מתה בלי קול אבל עם גוף, והלכנו לקבור אותה" (קרת, 1994, נספח א, עמ' 2). האב מתמודד עם האובדן באותה שיטה שבה התמודד עם הקולות: הוא ממיין. אל הלוויה מביאים האב והבן "איש שיבכה עליה", והאב מראה לבן בספר "בדיוק איזה בכיות", כי גם האיש הזה "היה מהם" (קרת, 1994, נספח א, עמ' 2). הבכי על האם אינו נעשה בידי המשפחה אלא מוזמן מבחוץ, מאחד החלולים, לפי הספר. גם האבל מקבל חוקים, וגם הוא נעשה "סתם קולות". רובין מתאר את האבל כתהליך הנע בשני מסלולים: מסלול התפקוד, שבו האדם ממשיך לחיות ולעשות, ומסלול הקשר עם המת, שנמשך גם אחרי המוות (Rubin, 1999). בבית של שיפמן מסלול התפקוד נשמר בקפדנות (קוברים, שותקים, חוזרים לפינה), ומסלול הקשר עם האם אינו מופיע כלל. האם נעלמת מן הסיפור כשם שנעלמה ממנו בחייה.</w:t>
      </w:r>
    </w:p>
    <w:p>
      <w:pPr>
        <w:bidi/>
        <w:spacing w:after="120" w:line="360"/>
        <w:jc w:val="both"/>
      </w:pPr>
      <w:r>
        <w:rPr>
          <w:rFonts w:ascii="David" w:cs="David" w:eastAsia="David" w:hAnsi="David"/>
          <w:sz w:val="24"/>
          <w:szCs w:val="24"/>
          <w:rtl/>
        </w:rPr>
        <w:t xml:space="preserve">מות האב הוא רגע היפוך. הוא מת "בפינה שם ליד הפסנתר, כשאני מחבק אותו את החיבוק שהיה מחבק אותי כשעוד פחדתי" (קרת, 1994, נספח א, עמ' 2). הבן נעשה למחבק, והאב למי שאינו עונה. על הקבר חוזר הטקס של האם: איש בוכה "את הבכיות שידעתי שיבכה מהספר", והאב שותק. ואז: "ואני שתקתי אחריו" (קרת, 1994, נספח א, עמ' 2-3). השתיקה של הבן היא הד לשתיקת האב, כפי שהמילים היו הד ללחישה. במונחיו של רובין, הבן ממשיך את הקשר עם האב המת בדרך היחידה שלמד: לחזור אחריו. כהן (2015) מראה שאחרי מות של בן משפחה, כל אחד מבני המשפחה נע על ציר אבל משלו, ושהתקשורת ביניהם נפגעת. בסיפור של קרת התקשורת מתפוררת עד לשתיקה גמורה, כי אין עוד עם מי לדבר.</w:t>
      </w:r>
    </w:p>
    <w:p>
      <w:pPr>
        <w:pStyle w:val="Heading2"/>
        <w:bidi/>
        <w:spacing w:after="120" w:before="240" w:line="360"/>
        <w:jc w:val="right"/>
      </w:pPr>
      <w:r>
        <w:rPr>
          <w:rFonts w:ascii="David" w:cs="David" w:eastAsia="David" w:hAnsi="David"/>
          <w:b/>
          <w:bCs/>
          <w:sz w:val="28"/>
          <w:szCs w:val="28"/>
          <w:rtl/>
        </w:rPr>
        <w:t xml:space="preserve">2.6 מחיר ההתמודדות: "סתם, ממש סתם"</w:t>
      </w:r>
    </w:p>
    <w:p>
      <w:pPr>
        <w:bidi/>
        <w:spacing w:after="120" w:line="360"/>
        <w:jc w:val="both"/>
      </w:pPr>
      <w:r>
        <w:rPr>
          <w:rFonts w:ascii="David" w:cs="David" w:eastAsia="David" w:hAnsi="David"/>
          <w:sz w:val="24"/>
          <w:szCs w:val="24"/>
          <w:rtl/>
        </w:rPr>
        <w:t xml:space="preserve">המספר הבוגר מסכם את מה שנותר לו מן השיטה של אביו: "והיום המלים שלי חוזרות מהם כמו כדור טניס שזרקתי על קיר. סתם, ממש סתם" (קרת, 1994, נספח א, עמ' 2). המילים שהיו אמורות להגן חוזרות ריקות. הכפלת המילה "סתם" מדגישה שהריקון פועל לשני הכיוונים: האב רוקן את הקולות מגוף, והבן התרוקן בעצמו.</w:t>
      </w:r>
    </w:p>
    <w:p>
      <w:pPr>
        <w:bidi/>
        <w:spacing w:after="120" w:line="360"/>
        <w:jc w:val="both"/>
      </w:pPr>
      <w:r>
        <w:rPr>
          <w:rFonts w:ascii="David" w:cs="David" w:eastAsia="David" w:hAnsi="David"/>
          <w:sz w:val="24"/>
          <w:szCs w:val="24"/>
          <w:rtl/>
        </w:rPr>
        <w:t xml:space="preserve">מנדלסון-מעוז מזהה בסיפוריו של קרת דמויות של "מתים-חיים", אנשים שנמצאים בין החיים למוות ומשמשים לקרת כדי לבחון את הקורבן ואת הגבריות הישראלית (Mendelson-Maoz, 2018). "האנשים החלולים" מציע גרסה שקטה של הדמות הזאת. הבן חי, מדבר ועומד על קבר, אבל הוא מגדיר את עצמו כאחד מהם. השיטה של האב הצליחה, כי הילד לא נפגע, ונכשלה, כי הילד לא נשאר שלם. במונחי לזרוס ופולקמן (Lazarus &amp; Folkman, 1984), התמודדות ממוקדת רגש מתאימה למצבים שאינם ניתנים לשינוי, ומחירה עלול להיות התרחקות מן המציאות. הסיפור מראה את שני הצדדים בבת אחת ואינו מכריע ביניהם. זו תשובתו הראשונה של קרת לשאלת המחקר על מחיר ההתמודדות: ההגנה והריקון הם אותו מעשה.</w:t>
      </w:r>
    </w:p>
    <w:p>
      <w:r>
        <w:br w:type="page"/>
      </w:r>
    </w:p>
    <w:p>
      <w:pPr>
        <w:pStyle w:val="Heading1"/>
        <w:bidi/>
        <w:spacing w:after="200" w:before="360" w:line="360"/>
        <w:jc w:val="right"/>
      </w:pPr>
      <w:r>
        <w:rPr>
          <w:rFonts w:ascii="David" w:cs="David" w:eastAsia="David" w:hAnsi="David"/>
          <w:b/>
          <w:bCs/>
          <w:sz w:val="32"/>
          <w:szCs w:val="32"/>
          <w:rtl/>
        </w:rPr>
        <w:t xml:space="preserve">פרק 3: "מי כמונו יודע": דיבור, אידאולוגיה, הסתרה וכתיבה כדרכי התמודדות</w:t>
      </w:r>
    </w:p>
    <w:p>
      <w:pPr>
        <w:pStyle w:val="Heading2"/>
        <w:bidi/>
        <w:spacing w:after="120" w:before="240" w:line="360"/>
        <w:jc w:val="right"/>
      </w:pPr>
      <w:r>
        <w:rPr>
          <w:rFonts w:ascii="David" w:cs="David" w:eastAsia="David" w:hAnsi="David"/>
          <w:b/>
          <w:bCs/>
          <w:sz w:val="28"/>
          <w:szCs w:val="28"/>
          <w:rtl/>
        </w:rPr>
        <w:t xml:space="preserve">3.1 תקציר הסיפור ומבנהו</w:t>
      </w:r>
    </w:p>
    <w:p>
      <w:pPr>
        <w:bidi/>
        <w:spacing w:after="120" w:line="360"/>
        <w:jc w:val="both"/>
      </w:pPr>
      <w:r>
        <w:rPr>
          <w:rFonts w:ascii="David" w:cs="David" w:eastAsia="David" w:hAnsi="David"/>
          <w:sz w:val="24"/>
          <w:szCs w:val="24"/>
          <w:rtl/>
        </w:rPr>
        <w:t xml:space="preserve">"מי כמונו יודע" נדפס בקובץ אוטוקורקט (קרת, 2024), שלושים שנה אחרי געגועי לקיסינג'ר. המספר, סופר, יושב בבית קפה מול סופר אמריקאי "שלא הפסיק לדבר". האמריקאי כתב שלושה ספרים, אחד מהם זכה בפרס בין-לאומי "שלא שמעתי עליו מעולם", וכל משפט שני שלו נפתח במילים "ומי כמונו יודע". הוא מספר על חייו: לימודי כתיבה במערב התיכון, משפחה, ילד שנהרג בתאונת דרכים, גירושים, גיור, התפקרות והצטרפות לתנועה עולמית של מינימליזם. ברשותו שני זוגות תחתונים ועט אחד. המספר, שכותב במחשב ושיש לו לפחות עשרים זוגות תחתונים, מסתיר את שני הדברים. האמריקאי מפנה את תשומת לבו לשקיעה שמאחורי כתפו, מכריז שהם "בני מזל" כי הכתיבה מאפשרת להם לשמר את היופי לנצח, ומודיע שיכתוב על השקיעה הזאת. המספר, שצווארו כבר כואב, אומר "גם אני", ויודע שהסיפור הבא שלו "הולך להיות על מישהו שנתפס לו הצוואר" (קרת, 2024, נספח ב, עמ' 3).</w:t>
      </w:r>
    </w:p>
    <w:p>
      <w:pPr>
        <w:bidi/>
        <w:spacing w:after="120" w:line="360"/>
        <w:jc w:val="both"/>
      </w:pPr>
      <w:r>
        <w:rPr>
          <w:rFonts w:ascii="David" w:cs="David" w:eastAsia="David" w:hAnsi="David"/>
          <w:sz w:val="24"/>
          <w:szCs w:val="24"/>
          <w:rtl/>
        </w:rPr>
        <w:t xml:space="preserve">הסיפור בנוי כסצנה אחת, וכמעט כולו דיבור של האמריקאי, במסירה ישירה ועקיפה. המספר מדבר בקול רק שלוש פעמים: הוא אומר שהוא כותב במחשב, הוא אומר שאינו זוכר כמה תחתונים יש לו, והוא אומר "גם אני". שאר דבריו נאמרים בתוכו, אל הקורא. גם כאן, כמו ב"האנשים החלולים", המספר הוא מאזין. ההבדל הוא שהמאזין הזה כותב, והסיפור שאנחנו קוראים הוא המעשה שהוא בוחר לעשות.</w:t>
      </w:r>
    </w:p>
    <w:p>
      <w:pPr>
        <w:pStyle w:val="Heading2"/>
        <w:bidi/>
        <w:spacing w:after="120" w:before="240" w:line="360"/>
        <w:jc w:val="right"/>
      </w:pPr>
      <w:r>
        <w:rPr>
          <w:rFonts w:ascii="David" w:cs="David" w:eastAsia="David" w:hAnsi="David"/>
          <w:b/>
          <w:bCs/>
          <w:sz w:val="28"/>
          <w:szCs w:val="28"/>
          <w:rtl/>
        </w:rPr>
        <w:t xml:space="preserve">3.2 הקושי: אובדן, כישלון ובדידות</w:t>
      </w:r>
    </w:p>
    <w:p>
      <w:pPr>
        <w:bidi/>
        <w:spacing w:after="120" w:line="360"/>
        <w:jc w:val="both"/>
      </w:pPr>
      <w:r>
        <w:rPr>
          <w:rFonts w:ascii="David" w:cs="David" w:eastAsia="David" w:hAnsi="David"/>
          <w:sz w:val="24"/>
          <w:szCs w:val="24"/>
          <w:rtl/>
        </w:rPr>
        <w:t xml:space="preserve">הקושי בסיפור מתחלק בין שני האנשים. הסופר האמריקאי איבד ילד, איבד משפחה, החליף אמונה פעמיים והצטמצם לשני זוגות תחתונים. הוא זכה בפרס שאיש אינו מכיר. כהן (2015) מתארת את מה שקורה למשפחה אחרי מות של ילד בוגר: ההורים והאחים נעים על צירי אבל שונים, והתקשורת ביניהם נשחקת. הגירושים של האמריקאי, המופיעים ברשימה מיד אחרי התאונה, הם התוצאה המוכרת של השחיקה הזאת. הסיפור אינו מפרט, והרשימה עצמה, שבה מוות של ילד עומד ליד הצטרפות לתנועת מינימליזם, אומרת יותר מכל פירוט.</w:t>
      </w:r>
    </w:p>
    <w:p>
      <w:pPr>
        <w:bidi/>
        <w:spacing w:after="120" w:line="360"/>
        <w:jc w:val="both"/>
      </w:pPr>
      <w:r>
        <w:rPr>
          <w:rFonts w:ascii="David" w:cs="David" w:eastAsia="David" w:hAnsi="David"/>
          <w:sz w:val="24"/>
          <w:szCs w:val="24"/>
          <w:rtl/>
        </w:rPr>
        <w:t xml:space="preserve">הקושי של המספר קטן יותר ומיידי יותר. הוא יושב מול זר שמדבר בלי הפסקה, נגרר לתוך "אנחנו" שלא ביקש, מפחד לאבד את הקרבה שנכפתה עליו, ובסוף כואב לו הצוואר. במונחי לזרוס ופולקמן (Lazarus &amp; Folkman, 1984), ההערכה הראשונית של המספר היא שהמצב מאיים על נוחותו ועל דימויו העצמי, וההערכה המשנית מגלה שהמשאבים שבידיו מעטים: נימוס, הנהון והסתרה.</w:t>
      </w:r>
    </w:p>
    <w:p>
      <w:pPr>
        <w:pStyle w:val="Heading2"/>
        <w:bidi/>
        <w:spacing w:after="120" w:before="240" w:line="360"/>
        <w:jc w:val="right"/>
      </w:pPr>
      <w:r>
        <w:rPr>
          <w:rFonts w:ascii="David" w:cs="David" w:eastAsia="David" w:hAnsi="David"/>
          <w:b/>
          <w:bCs/>
          <w:sz w:val="28"/>
          <w:szCs w:val="28"/>
          <w:rtl/>
        </w:rPr>
        <w:t xml:space="preserve">3.3 "ומי כמונו יודע": השפה כחיפוש שייכות</w:t>
      </w:r>
    </w:p>
    <w:p>
      <w:pPr>
        <w:bidi/>
        <w:spacing w:after="120" w:line="360"/>
        <w:jc w:val="both"/>
      </w:pPr>
      <w:r>
        <w:rPr>
          <w:rFonts w:ascii="David" w:cs="David" w:eastAsia="David" w:hAnsi="David"/>
          <w:sz w:val="24"/>
          <w:szCs w:val="24"/>
          <w:rtl/>
        </w:rPr>
        <w:t xml:space="preserve">הנוסחה החוזרת "ומי כמונו יודע" היא דרך ההתמודדות הבולטת של האמריקאי. היא הופכת כל טענה פרטית שלו לידע משותף, ואת המאזין לשותף. המספר מתאר את תוצאתה בדימוי גופני:</w:t>
      </w:r>
    </w:p>
    <w:p>
      <w:pPr>
        <w:bidi/>
        <w:spacing w:after="160" w:line="360"/>
        <w:ind w:left="720" w:right="720"/>
        <w:jc w:val="both"/>
      </w:pPr>
      <w:r>
        <w:rPr>
          <w:rFonts w:ascii="David" w:cs="David" w:eastAsia="David" w:hAnsi="David"/>
          <w:sz w:val="24"/>
          <w:szCs w:val="24"/>
          <w:rtl/>
        </w:rPr>
        <w:t xml:space="preserve">זה גרם לי להרגיש כאילו אנחנו ישות אחת, תאומים סיאמיים שאמנם יכולים לנופף עצמאית, כל אחד בזרועותיו שלו, אבל חולקים לב אחד גדול וכואב שפועם כמו מטרונום ענקי שרק הוא ואני יכולים לשמוע (קרת, 2024, נספח ב, עמ' 1).</w:t>
      </w:r>
    </w:p>
    <w:p>
      <w:pPr>
        <w:bidi/>
        <w:spacing w:after="120" w:line="360"/>
        <w:jc w:val="both"/>
      </w:pPr>
      <w:r>
        <w:rPr>
          <w:rFonts w:ascii="David" w:cs="David" w:eastAsia="David" w:hAnsi="David"/>
          <w:sz w:val="24"/>
          <w:szCs w:val="24"/>
          <w:rtl/>
        </w:rPr>
        <w:t xml:space="preserve">הדימוי מתאר שייכות כפויה. הלב המשותף "כואב", והמטרונום, מכשיר שקובע קצב, נשמע רק לשניהם. הדיבור הבלתי פוסק הוא ויסות רגשי: האמריקאי מדבר "כאילו יש לו יותר מדי דברים להגיד והוא חייב להספיק את כולם" (קרת, 2024, נספח ב, עמ' 1), ומי שחייב להספיק פוחד שייגמר לו הזמן. לזרוס ופולקמן מונים את חיפוש התמיכה החברתית בין דרכי ההתמודדות ממוקדות הרגש (Lazarus &amp; Folkman, 1984). כאן התמיכה אינה מתבקשת אלא נלקחת. קצמן (2005) מתאר את דמויותיו של קרת כמי שמתגעגעות למיתוס, לסיפור גדול שיעניק לחייהן סדר. הנוסחה "ומי כמונו יודע" היא ניסיון לייצר מיתוס כזה בזמן אמת: שני סופרים, לב אחד, ידיעה שאין לאחרים.</w:t>
      </w:r>
    </w:p>
    <w:p>
      <w:pPr>
        <w:pStyle w:val="Heading2"/>
        <w:bidi/>
        <w:spacing w:after="120" w:before="240" w:line="360"/>
        <w:jc w:val="right"/>
      </w:pPr>
      <w:r>
        <w:rPr>
          <w:rFonts w:ascii="David" w:cs="David" w:eastAsia="David" w:hAnsi="David"/>
          <w:b/>
          <w:bCs/>
          <w:sz w:val="28"/>
          <w:szCs w:val="28"/>
          <w:rtl/>
        </w:rPr>
        <w:t xml:space="preserve">3.4 מינימליזם והחלפת אמונות: בנייה מחדש של החיים אחרי אובדן</w:t>
      </w:r>
    </w:p>
    <w:p>
      <w:pPr>
        <w:bidi/>
        <w:spacing w:after="120" w:line="360"/>
        <w:jc w:val="both"/>
      </w:pPr>
      <w:r>
        <w:rPr>
          <w:rFonts w:ascii="David" w:cs="David" w:eastAsia="David" w:hAnsi="David"/>
          <w:sz w:val="24"/>
          <w:szCs w:val="24"/>
          <w:rtl/>
        </w:rPr>
        <w:t xml:space="preserve">רשימת האירועים בחיי האמריקאי מגלה דפוס: אחרי האובדן הוא מחליף מסגרת אחרי מסגרת. גיור, התפקרות, תנועה עולמית. כל מסגרת מציעה חוקים חדשים, והמינימליזם מציע את החוקים הפשוטים ביותר: שני זוגות תחתונים, עט אחד. הוא מסביר בגאווה: "בנאדם צריך תמיד שיהיה לו עוד זוג תחתונים, להחלפה, אבל עט? אחד זה די והותר" (קרת, 2024, נספח ב, עמ' 2). ההומור של המשפט, שבו קרץ האמריקאי למספר, הוא מסוג ההומור ששוורץ (Schwartz, 2018) מזהה אצל קרת: צחוק שאינו מבטל את הכאב אלא מאפשר לחיות לידו.</w:t>
      </w:r>
    </w:p>
    <w:p>
      <w:pPr>
        <w:bidi/>
        <w:spacing w:after="120" w:line="360"/>
        <w:jc w:val="both"/>
      </w:pPr>
      <w:r>
        <w:rPr>
          <w:rFonts w:ascii="David" w:cs="David" w:eastAsia="David" w:hAnsi="David"/>
          <w:sz w:val="24"/>
          <w:szCs w:val="24"/>
          <w:rtl/>
        </w:rPr>
        <w:t xml:space="preserve">מה מעמדה של הדרך הזאת במונחי ההתמודדות? לכאורה היא ממוקדת בעיה, שהרי האדם משנה את חייו בפועל. אבל הבעיה, מות הילד, אינה ניתנת לשינוי, ולכן השינוי החיצוני הוא בעצם ויסות רגשי: שליטה במה שאפשר לשלוט בו, החפצים, במקום במה שאי אפשר. רובין מבחין בין מסלול התפקוד לבין מסלול הקשר עם המת (Rubin, 1999). האמריקאי מתפקד היטב: הוא כותב, נוסע, מרצה, מנחה. אבל הילד שמת מופיע בדבריו רק כפריט ברשימה, בין הקמת המשפחה לבין הגירושים. מסלול הקשר עם המת שותק, בדיוק כפי ששתק מסלול הקשר עם האם ב"האנשים החלולים". גם כאן ההתמודדות היא הסבר מחדש של המציאות: הכאב הפרטי מתורגם לתאוריה על יצירה, על מינימליזם ועל "מי כמונו".</w:t>
      </w:r>
    </w:p>
    <w:p>
      <w:pPr>
        <w:pStyle w:val="Heading2"/>
        <w:bidi/>
        <w:spacing w:after="120" w:before="240" w:line="360"/>
        <w:jc w:val="right"/>
      </w:pPr>
      <w:r>
        <w:rPr>
          <w:rFonts w:ascii="David" w:cs="David" w:eastAsia="David" w:hAnsi="David"/>
          <w:b/>
          <w:bCs/>
          <w:sz w:val="28"/>
          <w:szCs w:val="28"/>
          <w:rtl/>
        </w:rPr>
        <w:t xml:space="preserve">3.5 הסתרה והסכמה: התחתונים והשקיעה</w:t>
      </w:r>
    </w:p>
    <w:p>
      <w:pPr>
        <w:bidi/>
        <w:spacing w:after="120" w:line="360"/>
        <w:jc w:val="both"/>
      </w:pPr>
      <w:r>
        <w:rPr>
          <w:rFonts w:ascii="David" w:cs="David" w:eastAsia="David" w:hAnsi="David"/>
          <w:sz w:val="24"/>
          <w:szCs w:val="24"/>
          <w:rtl/>
        </w:rPr>
        <w:t xml:space="preserve">דרך ההתמודדות של המספר שונה. כשהאמריקאי שואל "כמה זוגות תחתונים יש לך בארון?", המספר משיב שאינו זוכר: "ידעתי שיש לי לפחות עשרים, אבל פחדתי להעלות את זה. פחדתי שזה ירחיק בינינו" (קרת, 2024, נספח ב, עמ' 2-3). השקר הקטן נועד לשמור על ה"אנחנו". המספר מעדיף קרבה מזויפת על אמת מרחיקה, ובכך הוא מאשר את הנוסחה של האמריקאי בלי להאמין בה.</w:t>
      </w:r>
    </w:p>
    <w:p>
      <w:pPr>
        <w:bidi/>
        <w:spacing w:after="120" w:line="360"/>
        <w:jc w:val="both"/>
      </w:pPr>
      <w:r>
        <w:rPr>
          <w:rFonts w:ascii="David" w:cs="David" w:eastAsia="David" w:hAnsi="David"/>
          <w:sz w:val="24"/>
          <w:szCs w:val="24"/>
          <w:rtl/>
        </w:rPr>
        <w:t xml:space="preserve">כשהאמריקאי מצביע על השקיעה, המספר מסתובב "מתוך נימוס". השקיעה יפה, "אבל הצוואר שלי התחיל לכאוב" (קרת, 2024, נספח ב, עמ' 3). הגוף משלם את מחיר ההסכמה. במונחי לזרוס ופולקמן (Lazarus &amp; Folkman, 1984) זו הימנעות מעימות, ומחירה מופיע לא ברגש אלא בשריר. יש כאן היפוך של הסיפור המוקדם. האב ב"האנשים החלולים" סוגר את הדלת בפני הזרים ומגן על גופו של הבן בחיבוק. המספר ב"מי כמונו יודע" פותח את עצמו לזר ומסובב את צווארו לפי דרישתו. בשני המקרים ההתמודדות שומרת על הקשר, ובשני המקרים היא גובה משהו מן העצמי.</w:t>
      </w:r>
    </w:p>
    <w:p>
      <w:pPr>
        <w:pStyle w:val="Heading2"/>
        <w:bidi/>
        <w:spacing w:after="120" w:before="240" w:line="360"/>
        <w:jc w:val="right"/>
      </w:pPr>
      <w:r>
        <w:rPr>
          <w:rFonts w:ascii="David" w:cs="David" w:eastAsia="David" w:hAnsi="David"/>
          <w:b/>
          <w:bCs/>
          <w:sz w:val="28"/>
          <w:szCs w:val="28"/>
          <w:rtl/>
        </w:rPr>
        <w:t xml:space="preserve">3.6 הכתיבה: פעולת הסחה או שימור היופי</w:t>
      </w:r>
    </w:p>
    <w:p>
      <w:pPr>
        <w:bidi/>
        <w:spacing w:after="120" w:line="360"/>
        <w:jc w:val="both"/>
      </w:pPr>
      <w:r>
        <w:rPr>
          <w:rFonts w:ascii="David" w:cs="David" w:eastAsia="David" w:hAnsi="David"/>
          <w:sz w:val="24"/>
          <w:szCs w:val="24"/>
          <w:rtl/>
        </w:rPr>
        <w:t xml:space="preserve">האמריקאי אומר שני דברים סותרים על הכתיבה. בתחילה הוא טוען ש"יצירה היא בסך הכל פעולת הסחה. מראית עין של מציאות קרנבלית רוחשת שאמורה להסיח את דעתנו מהמציאות האמיתית הקרה, המאכזבת ונטולת הנשמה" (קרת, 2024, נספח ב, עמ' 1-2). בהמשך, מול השקיעה, הוא טוען שהכתיבה מאפשרת "לשמר את היופי הזה לנצח" (קרת, 2024, נספח ב, עמ' 3). פעם הכתיבה בורחת מן המציאות, ופעם היא שומרת אותה. שתי הטענות הן דרכי התמודדות של אדם שהמציאות שלו הייתה "קרה ומאכזבת" באמת. קצמן (2005) קורא את כתיבתו של קרת כמיתופואסיס, יצירה של סיפורים קטנים שמעניקים לחיים סדר, ובסיפור הזה קרת מניח את הרעיון בפיה של דמות שמאמינה בו בכל לבה. המספר אינו מתווכח. הוא מהנהן, ואפילו חושב ש"אולי באמת עדיף לכתוב בעט".</w:t>
      </w:r>
    </w:p>
    <w:p>
      <w:pPr>
        <w:bidi/>
        <w:spacing w:after="120" w:line="360"/>
        <w:jc w:val="both"/>
      </w:pPr>
      <w:r>
        <w:rPr>
          <w:rFonts w:ascii="David" w:cs="David" w:eastAsia="David" w:hAnsi="David"/>
          <w:sz w:val="24"/>
          <w:szCs w:val="24"/>
          <w:rtl/>
        </w:rPr>
        <w:t xml:space="preserve">אבל טון הדיבור חושף את מה שמסתתר מאחורי התאוריה. "אני הולך לכתוב על השקיעה הזאת," אומר האמריקאי "בטון נחוש שנשמע כמעט כמו איום" (קרת, 2024, נספח ב, עמ' 3). הכתיבה נעשית תחרות ושליטה, ולא רק נחמה. מי שאיבד הכול רוצה להיות לפחות זה שמחזיק את השקיעה.</w:t>
      </w:r>
    </w:p>
    <w:p>
      <w:pPr>
        <w:pStyle w:val="Heading2"/>
        <w:bidi/>
        <w:spacing w:after="120" w:before="240" w:line="360"/>
        <w:jc w:val="right"/>
      </w:pPr>
      <w:r>
        <w:rPr>
          <w:rFonts w:ascii="David" w:cs="David" w:eastAsia="David" w:hAnsi="David"/>
          <w:b/>
          <w:bCs/>
          <w:sz w:val="28"/>
          <w:szCs w:val="28"/>
          <w:rtl/>
        </w:rPr>
        <w:t xml:space="preserve">3.7 הסיום: הצוואר במקום השקיעה</w:t>
      </w:r>
    </w:p>
    <w:p>
      <w:pPr>
        <w:bidi/>
        <w:spacing w:after="120" w:line="360"/>
        <w:jc w:val="both"/>
      </w:pPr>
      <w:r>
        <w:rPr>
          <w:rFonts w:ascii="David" w:cs="David" w:eastAsia="David" w:hAnsi="David"/>
          <w:sz w:val="24"/>
          <w:szCs w:val="24"/>
          <w:rtl/>
        </w:rPr>
        <w:t xml:space="preserve">הסיפור מסתיים בשני משפטים: "'גם אני,' אמרתי, 'גם אני.' כבר אז ידעתי שהסיפור הבא שלי הולך להיות על מישהו שנתפס לו הצוואר" (קרת, 2024, נספח ב, עמ' 3). המספר מסכים בקול וחולק בכתב. הוא לא יכתוב על הנשגב אלא על הכאב הקטן, לא על השקיעה אלא על השריר שנתפס בגלל השקיעה. שוורץ (Schwartz, 2018) מתאר את ההומור של קרת כחשיבה שאינה קורבנית: הדמות אינה מתלוננת ואינה נכנעת, אלא מוצאת מה אפשר לעשות עם המצב. כאן המספר עושה מן המפגש סיפור, וזה הסיפור שאנחנו קוראים. ה"אנחנו" של האמריקאי נשבר בשקט, בלי שהאמריקאי ידע.</w:t>
      </w:r>
    </w:p>
    <w:p>
      <w:pPr>
        <w:bidi/>
        <w:spacing w:after="120" w:line="360"/>
        <w:jc w:val="both"/>
      </w:pPr>
      <w:r>
        <w:rPr>
          <w:rFonts w:ascii="David" w:cs="David" w:eastAsia="David" w:hAnsi="David"/>
          <w:sz w:val="24"/>
          <w:szCs w:val="24"/>
          <w:rtl/>
        </w:rPr>
        <w:t xml:space="preserve">דרך ההתמודדות של המספר היא אפוא כפולה: הסכמה בגלוי וכתיבה בסתר. היא שומרת על הקשר ברגע עצמו ומשחררת ממנו אחר כך. בהשוואה לאב ב"האנשים החלולים", שהסבר המציאות שלו נשאר בתוך הבית ומת אתו, המספר של הסיפור המאוחר מוציא את ההסבר החוצה, אל הקורא. גם זה מחיר, כי הצוואר כואב באמת, אבל הכאב מקבל צורה. זו תשובתו השנייה של קרת לשאלת המחיר: ההתמודדות שאינה מרוקנת היא זו שמודה בכאב הקטן במקום להכריז על היופי הגדול.</w:t>
      </w:r>
    </w:p>
    <w:p>
      <w:r>
        <w:br w:type="page"/>
      </w:r>
    </w:p>
    <w:p>
      <w:pPr>
        <w:pStyle w:val="Heading1"/>
        <w:bidi/>
        <w:spacing w:after="200" w:before="360" w:line="360"/>
        <w:jc w:val="right"/>
      </w:pPr>
      <w:r>
        <w:rPr>
          <w:rFonts w:ascii="David" w:cs="David" w:eastAsia="David" w:hAnsi="David"/>
          <w:b/>
          <w:bCs/>
          <w:sz w:val="32"/>
          <w:szCs w:val="32"/>
          <w:rtl/>
        </w:rPr>
        <w:t xml:space="preserve">פרק 4: השוואה בין הסיפורים</w:t>
      </w:r>
    </w:p>
    <w:p>
      <w:pPr>
        <w:pStyle w:val="Heading2"/>
        <w:bidi/>
        <w:spacing w:after="120" w:before="240" w:line="360"/>
        <w:jc w:val="right"/>
      </w:pPr>
      <w:r>
        <w:rPr>
          <w:rFonts w:ascii="David" w:cs="David" w:eastAsia="David" w:hAnsi="David"/>
          <w:b/>
          <w:bCs/>
          <w:sz w:val="28"/>
          <w:szCs w:val="28"/>
          <w:rtl/>
        </w:rPr>
        <w:t xml:space="preserve">4.1 הדמיון: השפה והדמיון כדרך לחיות עם הקושי</w:t>
      </w:r>
    </w:p>
    <w:p>
      <w:pPr>
        <w:bidi/>
        <w:spacing w:after="120" w:line="360"/>
        <w:jc w:val="both"/>
      </w:pPr>
      <w:r>
        <w:rPr>
          <w:rFonts w:ascii="David" w:cs="David" w:eastAsia="David" w:hAnsi="David"/>
          <w:sz w:val="24"/>
          <w:szCs w:val="24"/>
          <w:rtl/>
        </w:rPr>
        <w:t xml:space="preserve">שלושים שנה מפרידות בין שני הסיפורים, ובכל זאת הם בנויים על אותו יסוד. בשניהם המספר הוא מאזין בגוף ראשון שכמעט אינו פועל: הילד שוכב על השטיח ומקשיב ללחישה, והמבוגר יושב בבית הקפה ומקשיב למונולוג. בשניהם ה"קושי" מגיע מבחוץ בצורת קול: דפיקות וקריאות בשם, או דיבור בלתי פוסק בגוף ראשון רבים. ובשניהם דרך ההתמודדות העיקרית אינה פעולה אלא הסבר מחדש של המציאות. האב מכריז שהקולות הם "סתם", והאמריקאי מכריז שהיצירה היא "פעולת הסחה" וש"אנחנו בני מזל". לזרוס ופולקמן היו מכנים את שני ההסברים הערכה מחודשת (Lazarus &amp; Folkman, 1984), וקצמן היה מכנה אותם מיתוס פרטי (קצמן, 2005). אף אחד מן ההסברים אינו משנה את המציאות. שניהם משנים את יכולתן של הדמויות לשאת אותה.</w:t>
      </w:r>
    </w:p>
    <w:p>
      <w:pPr>
        <w:bidi/>
        <w:spacing w:after="120" w:line="360"/>
        <w:jc w:val="both"/>
      </w:pPr>
      <w:r>
        <w:rPr>
          <w:rFonts w:ascii="David" w:cs="David" w:eastAsia="David" w:hAnsi="David"/>
          <w:sz w:val="24"/>
          <w:szCs w:val="24"/>
          <w:rtl/>
        </w:rPr>
        <w:t xml:space="preserve">יש דמיון נוסף, שקט יותר. בשני הסיפורים יש דמות אב. ב"האנשים החלולים" האב הוא אב ממש. ב"מי כמונו יודע" האמריקאי, המבוגר והמנוסה, מלמד את המספר איך לכתוב ("זה מציב אותך בעמדת חולשה"), שואל אותו שאלות אישיות ומורה לו לאן להסתכל. המספר מגיב כמו ילד: מהנהן, מסתיר, מסתובב כשאומרים לו. הסיפור המאוחר משחזר אפוא את מבנה האב והבן בלי משפחה, בין זרים, ומראה שהמבנה שרד את שנות הבגרות. אומר-שרמן (Omer-Sherman, 2020) מתאר כיצד סיפורי ההורים בבית של קרת נעשו לשפה שבה הבן מתמודד עם העולם, ובשני הסיפורים השפה הזאת מגיעה כלחישה או כנוסחה שהבן חוזר אחריה.</w:t>
      </w:r>
    </w:p>
    <w:p>
      <w:pPr>
        <w:pStyle w:val="Heading2"/>
        <w:bidi/>
        <w:spacing w:after="120" w:before="240" w:line="360"/>
        <w:jc w:val="right"/>
      </w:pPr>
      <w:r>
        <w:rPr>
          <w:rFonts w:ascii="David" w:cs="David" w:eastAsia="David" w:hAnsi="David"/>
          <w:b/>
          <w:bCs/>
          <w:sz w:val="28"/>
          <w:szCs w:val="28"/>
          <w:rtl/>
        </w:rPr>
        <w:t xml:space="preserve">4.2 השוני: שתיקה מול דיבור, הסתגרות מול חיבור</w:t>
      </w:r>
    </w:p>
    <w:p>
      <w:pPr>
        <w:bidi/>
        <w:spacing w:after="120" w:line="360"/>
        <w:jc w:val="both"/>
      </w:pPr>
      <w:r>
        <w:rPr>
          <w:rFonts w:ascii="David" w:cs="David" w:eastAsia="David" w:hAnsi="David"/>
          <w:sz w:val="24"/>
          <w:szCs w:val="24"/>
          <w:rtl/>
        </w:rPr>
        <w:t xml:space="preserve">ההבדל הבולט הוא הכיוון. ב"האנשים החלולים" ההתמודדות פונה פנימה: סוגרים דלת, סוגרים תריסים, מתכרבלים בפינה. ב"מי כמונו יודע" ההתמודדות פונה החוצה: מדברים, מצטרפים לתנועות, מכריזים "אנחנו". הבית הסגור מול בית הקפה הפתוח אל הים. ההבדל השני הוא קול. בסיפור המוקדם השתיקה היא שיטה, והיא מסתיימת בשתיקה גמורה על הקבר. בסיפור המאוחר הדיבור הוא שיטה, והוא מסתיים בהחלטה לכתוב. ההבדל השלישי הוא גיל המספר: ילד שאין לו ברירה אלא לקבל את ההסבר של אביו, לעומת מבוגר שיכול להסכים בקול ולחשוב אחרת.</w:t>
      </w:r>
    </w:p>
    <w:p>
      <w:pPr>
        <w:bidi/>
        <w:spacing w:after="120" w:line="360"/>
        <w:jc w:val="both"/>
      </w:pPr>
      <w:r>
        <w:rPr>
          <w:rFonts w:ascii="David" w:cs="David" w:eastAsia="David" w:hAnsi="David"/>
          <w:sz w:val="24"/>
          <w:szCs w:val="24"/>
          <w:rtl/>
        </w:rPr>
        <w:t xml:space="preserve">גם האובדן מוצג אחרת. ב"האנשים החלולים" המוות מתרחש לעיני הקורא, פעמיים, והשתיקה סביבו היא מרכז הסיפור. ב"מי כמונו יודע" מות הילד נזכר בחצי משפט, בין פריטים אחרים, והסיפור אינו חוזר אליו. במונחיו של רובין (Rubin, 1999), שני הסיפורים מראים אנשים שמסלול התפקוד שלהם תקין ומסלול הקשר עם המת שלהם דומם. אבל בסיפור המוקדם הדממה נמסרת בהרחבה, ובמאוחר היא מוסתרת מתחת לדיבור. כהן (2015) מראה שהאבל אחרי מות ילד פוגע קודם כל בתקשורת שבתוך המשפחה, ושני הסיפורים מגיעים לאותה תוצאה בדרכים הפוכות: משפחה שמתפוררת בשתיקה ומשפחה שמתפרקת מאחורי מונולוג.</w:t>
      </w:r>
    </w:p>
    <w:p>
      <w:pPr>
        <w:pStyle w:val="Heading2"/>
        <w:bidi/>
        <w:spacing w:after="120" w:before="240" w:line="360"/>
        <w:jc w:val="right"/>
      </w:pPr>
      <w:r>
        <w:rPr>
          <w:rFonts w:ascii="David" w:cs="David" w:eastAsia="David" w:hAnsi="David"/>
          <w:b/>
          <w:bCs/>
          <w:sz w:val="28"/>
          <w:szCs w:val="28"/>
          <w:rtl/>
        </w:rPr>
        <w:t xml:space="preserve">4.3 המספר בגוף ראשון: הילד ששותק והמבוגר שמהנהן</w:t>
      </w:r>
    </w:p>
    <w:p>
      <w:pPr>
        <w:bidi/>
        <w:spacing w:after="120" w:line="360"/>
        <w:jc w:val="both"/>
      </w:pPr>
      <w:r>
        <w:rPr>
          <w:rFonts w:ascii="David" w:cs="David" w:eastAsia="David" w:hAnsi="David"/>
          <w:sz w:val="24"/>
          <w:szCs w:val="24"/>
          <w:rtl/>
        </w:rPr>
        <w:t xml:space="preserve">בשני הסיפורים המספר נשמע בקולו שלו רק בסיום. הילד: "ואני שתקתי אחריו כי בסופו של דבר גם אני, כנראה, הייתי אחד מהם" (קרת, 1994, נספח א, עמ' 2-3). המבוגר: "כבר אז ידעתי שהסיפור הבא שלי הולך להיות על מישהו שנתפס לו הצוואר" (קרת, 2024, נספח ב, עמ' 3). שני הסיומים הם וידוי, ובשניהם יש מידה של אשמה. הילד מודה שהוא חלול, כלומר שלא הצליח להיות מה שאביו ניסה להגן עליו שיהיה. המבוגר מודה שהסכים בפה ולא בלב, ושהסיפור שלו יבגוד באיש שקרא לו "אחי" בכל משפט שני. אברמוביץ' (Abramovich, 2019) מראה שהאשמה אצל גיבוריו הצעירים של קרת נקשרת לדברים יומיומיים ולא למעשים גדולים, ושני הסיומים מאשרים זאת.</w:t>
      </w:r>
    </w:p>
    <w:p>
      <w:pPr>
        <w:bidi/>
        <w:spacing w:after="120" w:line="360"/>
        <w:jc w:val="both"/>
      </w:pPr>
      <w:r>
        <w:rPr>
          <w:rFonts w:ascii="David" w:cs="David" w:eastAsia="David" w:hAnsi="David"/>
          <w:sz w:val="24"/>
          <w:szCs w:val="24"/>
          <w:rtl/>
        </w:rPr>
        <w:t xml:space="preserve">אבל התוצאה שונה. הווידוי של הילד סוגר את הסיפור בריקנות: "סתם, ממש סתם". הווידוי של המבוגר פותח סיפור אחר. מנדלסון-מעוז (Mendelson-Maoz, 2018) מתארת את דמויותיו של קרת כמתים-חיים, ובסיפור המוקדם המספר מצטרף אליהם. בסיפור המאוחר המספר מסרב, בשקט, להיות אחד מהם: הוא לא יכתוב את השקיעה של האמריקאי, אלא את הצוואר שלו. שוורץ (Schwartz, 2018) רואה בהומור של קרת דרך להפוך את מה שיש למה שאפשר, וסיום הסיפור המאוחר הוא דוגמה מדויקת: הצוואר התפוס נעשה סיפור.</w:t>
      </w:r>
    </w:p>
    <w:p>
      <w:pPr>
        <w:pStyle w:val="Heading2"/>
        <w:bidi/>
        <w:spacing w:after="120" w:before="240" w:line="360"/>
        <w:jc w:val="right"/>
      </w:pPr>
      <w:r>
        <w:rPr>
          <w:rFonts w:ascii="David" w:cs="David" w:eastAsia="David" w:hAnsi="David"/>
          <w:b/>
          <w:bCs/>
          <w:sz w:val="28"/>
          <w:szCs w:val="28"/>
          <w:rtl/>
        </w:rPr>
        <w:t xml:space="preserve">4.4 מן הסיפור המוקדם למאוחר</w:t>
      </w:r>
    </w:p>
    <w:p>
      <w:pPr>
        <w:bidi/>
        <w:spacing w:after="120" w:line="360"/>
        <w:jc w:val="both"/>
      </w:pPr>
      <w:r>
        <w:rPr>
          <w:rFonts w:ascii="David" w:cs="David" w:eastAsia="David" w:hAnsi="David"/>
          <w:sz w:val="24"/>
          <w:szCs w:val="24"/>
          <w:rtl/>
        </w:rPr>
        <w:t xml:space="preserve">הטבלה שלהלן מסכמת את ההשוואה ומקשרת אותה לשלוש שאלות המחקר.</w:t>
      </w:r>
    </w:p>
    <w:tbl>
      <w:tblPr>
        <w:bidiVisual/>
        <w:tblW w:type="dxa" w:w="9360"/>
        <w:jc w:val="right"/>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היבט</w:t>
            </w:r>
          </w:p>
        </w:tc>
        <w:tc>
          <w:tcPr>
            <w:tcW w:type="dxa" w:w="348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"האנשים החלולים" (1994)</w:t>
            </w:r>
          </w:p>
        </w:tc>
        <w:tc>
          <w:tcPr>
            <w:tcW w:type="dxa" w:w="3480"/>
            <w:shd w:fill="E8E8E8" w:color="auto" w:val="clear"/>
            <w:tcMar>
              <w:top w:type="dxa" w:w="80"/>
              <w:left w:type="dxa" w:w="100"/>
              <w:bottom w:type="dxa" w:w="80"/>
              <w:right w:type="dxa" w:w="100"/>
            </w:tcMar>
          </w:tcPr>
          <w:p>
            <w:pPr>
              <w:bidi/>
              <w:spacing w:after="0" w:line="300"/>
              <w:jc w:val="right"/>
            </w:pPr>
            <w:r>
              <w:rPr>
                <w:rFonts w:ascii="David" w:cs="David" w:eastAsia="David" w:hAnsi="David"/>
                <w:b/>
                <w:bCs/>
                <w:sz w:val="22"/>
                <w:szCs w:val="22"/>
                <w:rtl/>
              </w:rPr>
              <w:t xml:space="preserve">"מי כמונו יודע" (2024)</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הקושי (שאלה א)</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פחד מפלישה, אובדן האם והאב, בדידות</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אובדן ילד ופירוק משפחה (הזר); כפייה ומבוכה (המספר)</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דרכי ההתמודדות (שאלה א)</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הימנעות, הסבר מחדש, מגע ולחישה, שתיקה</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דיבור בלתי פוסק, החלפת מסגרות, מינימליזם, הסתרה, כתיבה</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השפה והדמיון (שאלה ב)</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"סתם קולות": קול בלי גוף</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"ומי כמונו יודע": שני גופים, לב אחד</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דמות האב (שאלה ג)</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אב שמגן ומוריש פחד</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זר שמלמד ומכתיב</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המחיר (שאלה ג)</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ריקון: הבן נעשה אחד מהם</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צוואר תפוס; קרבה מזויפת</w:t>
            </w:r>
          </w:p>
        </w:tc>
      </w:tr>
      <w:tr>
        <w:tc>
          <w:tcPr>
            <w:tcW w:type="dxa" w:w="240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הסיום</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שתיקה על הקבר</w:t>
            </w:r>
          </w:p>
        </w:tc>
        <w:tc>
          <w:tcPr>
            <w:tcW w:type="dxa" w:w="3480"/>
            <w:tcMar>
              <w:top w:type="dxa" w:w="80"/>
              <w:left w:type="dxa" w:w="100"/>
              <w:bottom w:type="dxa" w:w="80"/>
              <w:right w:type="dxa" w:w="100"/>
            </w:tcMar>
          </w:tcPr>
          <w:p>
            <w:pPr>
              <w:bidi/>
              <w:spacing w:after="0" w:line="300"/>
              <w:jc w:val="right"/>
            </w:pPr>
            <w:r>
              <w:rPr>
                <w:rFonts w:ascii="David" w:cs="David" w:eastAsia="David" w:hAnsi="David"/>
                <w:b w:val="false"/>
                <w:bCs w:val="false"/>
                <w:sz w:val="22"/>
                <w:szCs w:val="22"/>
                <w:rtl/>
              </w:rPr>
              <w:t xml:space="preserve">החלטה לכתוב על הצוואר</w:t>
            </w:r>
          </w:p>
        </w:tc>
      </w:tr>
    </w:tbl>
    <w:p>
      <w:pPr>
        <w:spacing w:after="0" w:line="240"/>
      </w:pPr>
      <w:r>
        <w:rPr>
          <w:rFonts w:ascii="David" w:cs="David" w:eastAsia="David" w:hAnsi="David"/>
          <w:sz w:val="24"/>
          <w:szCs w:val="24"/>
          <w:rtl/>
        </w:rPr>
        <w:t xml:space="preserve"/>
      </w:r>
    </w:p>
    <w:p>
      <w:pPr>
        <w:bidi/>
        <w:spacing w:after="120" w:line="360"/>
        <w:jc w:val="both"/>
      </w:pPr>
      <w:r>
        <w:rPr>
          <w:rFonts w:ascii="David" w:cs="David" w:eastAsia="David" w:hAnsi="David"/>
          <w:sz w:val="24"/>
          <w:szCs w:val="24"/>
          <w:rtl/>
        </w:rPr>
        <w:t xml:space="preserve">המעבר מן הסיפור המוקדם למאוחר אינו מעבר מכישלון להצלחה. בשני הסיפורים איש אינו פותר את הקושי, ובשניהם ההתמודדות גובה מחיר. מה שהשתנה הוא מקומו של המספר. ב-1994 הוא יורש את ההסבר של אביו ומתרוקן בתוכו. ב-2024 הוא מקבל את ההסבר של הזר בפניו ומחליף אותו בסיפור משלו. ההתמודדות הכנה יותר, על פי קרת המאוחר, אינה זו שמכריזה על היופי הגדול אלא זו שמודה בכאב הקטן. הצוואר התפוס הוא ההיפך מן האנשים החלולים: גוף בלי נאום. ומי שכותב עליו, בניגוד לילד ששתק, אינו חוזר אחרי איש.</w:t>
      </w:r>
    </w:p>
    <w:p>
      <w:r>
        <w:br w:type="page"/>
      </w:r>
    </w:p>
    <w:p>
      <w:pPr>
        <w:bidi/>
        <w:spacing w:after="300" w:line="360"/>
        <w:jc w:val="center"/>
      </w:pPr>
      <w:r>
        <w:rPr>
          <w:rFonts w:ascii="David" w:cs="David" w:eastAsia="David" w:hAnsi="David"/>
          <w:b/>
          <w:bCs/>
          <w:sz w:val="30"/>
          <w:szCs w:val="30"/>
          <w:rtl/>
        </w:rPr>
        <w:t xml:space="preserve">רשימת מקורות</w:t>
      </w:r>
    </w:p>
    <w:p>
      <w:pPr>
        <w:bidi/>
        <w:spacing w:after="160" w:line="360"/>
        <w:ind w:left="720" w:hanging="720"/>
        <w:jc w:val="right"/>
      </w:pPr>
      <w:r>
        <w:rPr>
          <w:rFonts w:ascii="David" w:cs="David" w:eastAsia="David" w:hAnsi="David"/>
          <w:sz w:val="24"/>
          <w:szCs w:val="24"/>
          <w:rtl/>
        </w:rPr>
        <w:t xml:space="preserve">הולצמן, א' (2005). </w:t>
      </w:r>
      <w:r>
        <w:rPr>
          <w:rFonts w:ascii="David" w:cs="David" w:eastAsia="David" w:hAnsi="David"/>
          <w:i/>
          <w:iCs/>
          <w:sz w:val="24"/>
          <w:szCs w:val="24"/>
          <w:rtl/>
        </w:rPr>
        <w:t xml:space="preserve">מפת דרכים: סיפורת עברית כיום</w:t>
      </w:r>
      <w:r>
        <w:rPr>
          <w:rFonts w:ascii="David" w:cs="David" w:eastAsia="David" w:hAnsi="David"/>
          <w:sz w:val="24"/>
          <w:szCs w:val="24"/>
          <w:rtl/>
        </w:rPr>
        <w:t xml:space="preserve">. הקיבוץ המאוחד.</w:t>
      </w:r>
    </w:p>
    <w:p>
      <w:pPr>
        <w:bidi/>
        <w:spacing w:after="160" w:line="360"/>
        <w:ind w:left="720" w:hanging="720"/>
        <w:jc w:val="right"/>
      </w:pPr>
      <w:r>
        <w:rPr>
          <w:rFonts w:ascii="David" w:cs="David" w:eastAsia="David" w:hAnsi="David"/>
          <w:sz w:val="24"/>
          <w:szCs w:val="24"/>
          <w:rtl/>
        </w:rPr>
        <w:t xml:space="preserve">כהן, ד' (2015). בשני צירים שונים: תהליך האבל והתקשורת של הורים ואחים שכולים לאחר אבדן ילד בוגר. </w:t>
      </w:r>
      <w:r>
        <w:rPr>
          <w:rFonts w:ascii="David" w:cs="David" w:eastAsia="David" w:hAnsi="David"/>
          <w:i/>
          <w:iCs/>
          <w:sz w:val="24"/>
          <w:szCs w:val="24"/>
          <w:rtl/>
        </w:rPr>
        <w:t xml:space="preserve">מפגש לעבודה חינוכית-סוציאלית</w:t>
      </w:r>
      <w:r>
        <w:rPr>
          <w:rFonts w:ascii="David" w:cs="David" w:eastAsia="David" w:hAnsi="David"/>
          <w:sz w:val="24"/>
          <w:szCs w:val="24"/>
          <w:rtl/>
        </w:rPr>
        <w:t xml:space="preserve">, כג(41). https://kitvei-et.efshar.org.il/גיליונות/מפגש-41/</w:t>
      </w:r>
    </w:p>
    <w:p>
      <w:pPr>
        <w:bidi/>
        <w:spacing w:after="160" w:line="360"/>
        <w:ind w:left="720" w:hanging="720"/>
        <w:jc w:val="right"/>
      </w:pPr>
      <w:r>
        <w:rPr>
          <w:rFonts w:ascii="David" w:cs="David" w:eastAsia="David" w:hAnsi="David"/>
          <w:sz w:val="24"/>
          <w:szCs w:val="24"/>
          <w:rtl/>
        </w:rPr>
        <w:t xml:space="preserve">קצמן, ר' (2005). געגועים למיתוס: אישיות, אתיקה ואידאולוגיה במיתופואסיס הפוסטמודרני של אתגר קרת. </w:t>
      </w:r>
      <w:r>
        <w:rPr>
          <w:rFonts w:ascii="David" w:cs="David" w:eastAsia="David" w:hAnsi="David"/>
          <w:i/>
          <w:iCs/>
          <w:sz w:val="24"/>
          <w:szCs w:val="24"/>
          <w:rtl/>
        </w:rPr>
        <w:t xml:space="preserve">מכאן</w:t>
      </w:r>
      <w:r>
        <w:rPr>
          <w:rFonts w:ascii="David" w:cs="David" w:eastAsia="David" w:hAnsi="David"/>
          <w:sz w:val="24"/>
          <w:szCs w:val="24"/>
          <w:rtl/>
        </w:rPr>
        <w:t xml:space="preserve">, ד, 20-41.</w:t>
      </w:r>
    </w:p>
    <w:p>
      <w:pPr>
        <w:bidi/>
        <w:spacing w:after="160" w:line="360"/>
        <w:ind w:left="720" w:hanging="720"/>
        <w:jc w:val="right"/>
      </w:pPr>
      <w:r>
        <w:rPr>
          <w:rFonts w:ascii="David" w:cs="David" w:eastAsia="David" w:hAnsi="David"/>
          <w:sz w:val="24"/>
          <w:szCs w:val="24"/>
          <w:rtl/>
        </w:rPr>
        <w:t xml:space="preserve">קרת, א' (1994). האנשים החלולים. בתוך </w:t>
      </w:r>
      <w:r>
        <w:rPr>
          <w:rFonts w:ascii="David" w:cs="David" w:eastAsia="David" w:hAnsi="David"/>
          <w:i/>
          <w:iCs/>
          <w:sz w:val="24"/>
          <w:szCs w:val="24"/>
          <w:rtl/>
        </w:rPr>
        <w:t xml:space="preserve">געגועי לקיסינג'ר</w:t>
      </w:r>
      <w:r>
        <w:rPr>
          <w:rFonts w:ascii="David" w:cs="David" w:eastAsia="David" w:hAnsi="David"/>
          <w:sz w:val="24"/>
          <w:szCs w:val="24"/>
          <w:rtl/>
        </w:rPr>
        <w:t xml:space="preserve">. זמורה-ביתן.</w:t>
      </w:r>
    </w:p>
    <w:p>
      <w:pPr>
        <w:bidi/>
        <w:spacing w:after="160" w:line="360"/>
        <w:ind w:left="720" w:hanging="720"/>
        <w:jc w:val="right"/>
      </w:pPr>
      <w:r>
        <w:rPr>
          <w:rFonts w:ascii="David" w:cs="David" w:eastAsia="David" w:hAnsi="David"/>
          <w:sz w:val="24"/>
          <w:szCs w:val="24"/>
          <w:rtl/>
        </w:rPr>
        <w:t xml:space="preserve">קרת, א' (2024). מי כמונו יודע. בתוך </w:t>
      </w:r>
      <w:r>
        <w:rPr>
          <w:rFonts w:ascii="David" w:cs="David" w:eastAsia="David" w:hAnsi="David"/>
          <w:i/>
          <w:iCs/>
          <w:sz w:val="24"/>
          <w:szCs w:val="24"/>
          <w:rtl/>
        </w:rPr>
        <w:t xml:space="preserve">אוטוקורקט</w:t>
      </w:r>
      <w:r>
        <w:rPr>
          <w:rFonts w:ascii="David" w:cs="David" w:eastAsia="David" w:hAnsi="David"/>
          <w:sz w:val="24"/>
          <w:szCs w:val="24"/>
          <w:rtl/>
        </w:rPr>
        <w:t xml:space="preserve">. כנרת, זמורה-ביתן, דביר.</w:t>
      </w:r>
    </w:p>
    <w:p>
      <w:pPr>
        <w:spacing w:after="160" w:line="360"/>
        <w:ind w:left="720" w:hanging="720"/>
        <w:jc w:val="left"/>
      </w:pPr>
      <w:r>
        <w:rPr>
          <w:rFonts w:ascii="David" w:cs="David" w:eastAsia="David" w:hAnsi="David"/>
          <w:sz w:val="24"/>
          <w:szCs w:val="24"/>
        </w:rPr>
        <w:t xml:space="preserve">Abramovich, D. (2019). Israeli Holocaust memory in a short story by Etgar Keret. </w:t>
      </w:r>
      <w:r>
        <w:rPr>
          <w:rFonts w:ascii="David" w:cs="David" w:eastAsia="David" w:hAnsi="David"/>
          <w:i/>
          <w:iCs/>
          <w:sz w:val="24"/>
          <w:szCs w:val="24"/>
        </w:rPr>
        <w:t xml:space="preserve">Australian Journal of Jewish Studies, 32</w:t>
      </w:r>
      <w:r>
        <w:rPr>
          <w:rFonts w:ascii="David" w:cs="David" w:eastAsia="David" w:hAnsi="David"/>
          <w:sz w:val="24"/>
          <w:szCs w:val="24"/>
        </w:rPr>
        <w:t xml:space="preserve">, 21-33. http://www.aajs.org.au/wp-content/uploads/2020/03/AJJSvol32_Abramovich_21-33.pdf</w:t>
      </w:r>
    </w:p>
    <w:p>
      <w:pPr>
        <w:spacing w:after="160" w:line="360"/>
        <w:ind w:left="720" w:hanging="720"/>
        <w:jc w:val="left"/>
      </w:pPr>
      <w:r>
        <w:rPr>
          <w:rFonts w:ascii="David" w:cs="David" w:eastAsia="David" w:hAnsi="David"/>
          <w:sz w:val="24"/>
          <w:szCs w:val="24"/>
        </w:rPr>
        <w:t xml:space="preserve">Lazarus, R. S., &amp; Folkman, S. (1984). </w:t>
      </w:r>
      <w:r>
        <w:rPr>
          <w:rFonts w:ascii="David" w:cs="David" w:eastAsia="David" w:hAnsi="David"/>
          <w:i/>
          <w:iCs/>
          <w:sz w:val="24"/>
          <w:szCs w:val="24"/>
        </w:rPr>
        <w:t xml:space="preserve">Stress, appraisal, and coping</w:t>
      </w:r>
      <w:r>
        <w:rPr>
          <w:rFonts w:ascii="David" w:cs="David" w:eastAsia="David" w:hAnsi="David"/>
          <w:sz w:val="24"/>
          <w:szCs w:val="24"/>
        </w:rPr>
        <w:t xml:space="preserve">. Springer.</w:t>
      </w:r>
    </w:p>
    <w:p>
      <w:pPr>
        <w:spacing w:after="160" w:line="360"/>
        <w:ind w:left="720" w:hanging="720"/>
        <w:jc w:val="left"/>
      </w:pPr>
      <w:r>
        <w:rPr>
          <w:rFonts w:ascii="David" w:cs="David" w:eastAsia="David" w:hAnsi="David"/>
          <w:sz w:val="24"/>
          <w:szCs w:val="24"/>
        </w:rPr>
        <w:t xml:space="preserve">Mendelson-Maoz, A. (2018). Keret's "living-dead" and the sacrifice of Israeli masculinity.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 https://in.bgu.ac.il/en/heksherim/BGU%20Review%202018/Adia-Mendelson-Maoz-BGUR.pdf</w:t>
      </w:r>
    </w:p>
    <w:p>
      <w:pPr>
        <w:spacing w:after="160" w:line="360"/>
        <w:ind w:left="720" w:hanging="720"/>
        <w:jc w:val="left"/>
      </w:pPr>
      <w:r>
        <w:rPr>
          <w:rFonts w:ascii="David" w:cs="David" w:eastAsia="David" w:hAnsi="David"/>
          <w:sz w:val="24"/>
          <w:szCs w:val="24"/>
        </w:rPr>
        <w:t xml:space="preserve">Omer-Sherman, R. (2020). "To extract from it some sort of beautiful thing": The Holocaust in the families and fiction of Nava Semel and Etgar Keret. </w:t>
      </w:r>
      <w:r>
        <w:rPr>
          <w:rFonts w:ascii="David" w:cs="David" w:eastAsia="David" w:hAnsi="David"/>
          <w:i/>
          <w:iCs/>
          <w:sz w:val="24"/>
          <w:szCs w:val="24"/>
        </w:rPr>
        <w:t xml:space="preserve">Humanities, 9</w:t>
      </w:r>
      <w:r>
        <w:rPr>
          <w:rFonts w:ascii="David" w:cs="David" w:eastAsia="David" w:hAnsi="David"/>
          <w:sz w:val="24"/>
          <w:szCs w:val="24"/>
        </w:rPr>
        <w:t xml:space="preserve">(4), Article 137. https://doi.org/10.3390/h9040137</w:t>
      </w:r>
    </w:p>
    <w:p>
      <w:pPr>
        <w:spacing w:after="160" w:line="360"/>
        <w:ind w:left="720" w:hanging="720"/>
        <w:jc w:val="left"/>
      </w:pPr>
      <w:r>
        <w:rPr>
          <w:rFonts w:ascii="David" w:cs="David" w:eastAsia="David" w:hAnsi="David"/>
          <w:sz w:val="24"/>
          <w:szCs w:val="24"/>
        </w:rPr>
        <w:t xml:space="preserve">Rubin, S. S. (1999). The two-track model of bereavement: Overview, retrospect, and prospect. </w:t>
      </w:r>
      <w:r>
        <w:rPr>
          <w:rFonts w:ascii="David" w:cs="David" w:eastAsia="David" w:hAnsi="David"/>
          <w:i/>
          <w:iCs/>
          <w:sz w:val="24"/>
          <w:szCs w:val="24"/>
        </w:rPr>
        <w:t xml:space="preserve">Death Studies, 23</w:t>
      </w:r>
      <w:r>
        <w:rPr>
          <w:rFonts w:ascii="David" w:cs="David" w:eastAsia="David" w:hAnsi="David"/>
          <w:sz w:val="24"/>
          <w:szCs w:val="24"/>
        </w:rPr>
        <w:t xml:space="preserve">(8), 681-714. https://doi.org/10.1080/074811899200731</w:t>
      </w:r>
    </w:p>
    <w:p>
      <w:pPr>
        <w:spacing w:after="160" w:line="360"/>
        <w:ind w:left="720" w:hanging="720"/>
        <w:jc w:val="left"/>
      </w:pPr>
      <w:r>
        <w:rPr>
          <w:rFonts w:ascii="David" w:cs="David" w:eastAsia="David" w:hAnsi="David"/>
          <w:sz w:val="24"/>
          <w:szCs w:val="24"/>
        </w:rPr>
        <w:t xml:space="preserve">Schwartz, Y. (2018). Stam: The unbearable lightness of banality, or on the nature of Etgar Keret's humor. </w:t>
      </w:r>
      <w:r>
        <w:rPr>
          <w:rFonts w:ascii="David" w:cs="David" w:eastAsia="David" w:hAnsi="David"/>
          <w:i/>
          <w:iCs/>
          <w:sz w:val="24"/>
          <w:szCs w:val="24"/>
        </w:rPr>
        <w:t xml:space="preserve">BGU Review: A Journal of Israeli Culture</w:t>
      </w:r>
      <w:r>
        <w:rPr>
          <w:rFonts w:ascii="David" w:cs="David" w:eastAsia="David" w:hAnsi="David"/>
          <w:sz w:val="24"/>
          <w:szCs w:val="24"/>
        </w:rPr>
        <w:t xml:space="preserve">, Winter 2018. https://www.bgu.ac.il/media/zpjot1iw/yigal-schwartz-bgur.pdf</w:t>
      </w:r>
    </w:p>
    <w:p>
      <w:r>
        <w:br w:type="page"/>
      </w:r>
    </w:p>
    <w:p>
      <w:pPr>
        <w:pStyle w:val="Heading1"/>
        <w:bidi/>
        <w:spacing w:after="200" w:before="360" w:line="360"/>
        <w:jc w:val="right"/>
      </w:pPr>
      <w:r>
        <w:rPr>
          <w:rFonts w:ascii="David" w:cs="David" w:eastAsia="David" w:hAnsi="David"/>
          <w:b/>
          <w:bCs/>
          <w:sz w:val="32"/>
          <w:szCs w:val="32"/>
          <w:rtl/>
        </w:rPr>
        <w:t xml:space="preserve">נספחים</w:t>
      </w:r>
    </w:p>
    <w:p>
      <w:pPr>
        <w:bidi/>
        <w:spacing w:after="120" w:line="360"/>
        <w:jc w:val="both"/>
      </w:pPr>
      <w:r>
        <w:rPr>
          <w:rFonts w:ascii="David" w:cs="David" w:eastAsia="David" w:hAnsi="David"/>
          <w:sz w:val="24"/>
          <w:szCs w:val="24"/>
          <w:rtl/>
        </w:rPr>
        <w:t xml:space="preserve">להלן נוסח שני הסיפורים כפי שהוא מופיע בקובץ הסרוק. מספרי העמודים בסוגריים הם מספרי העמודים של הסריקה, והם אלה שאליהם מפנים הציטוטים בגוף העבודה.</w:t>
      </w:r>
    </w:p>
    <w:p>
      <w:pPr>
        <w:pStyle w:val="Heading2"/>
        <w:bidi/>
        <w:spacing w:after="120" w:before="240" w:line="360"/>
        <w:jc w:val="right"/>
      </w:pPr>
      <w:r>
        <w:rPr>
          <w:rFonts w:ascii="David" w:cs="David" w:eastAsia="David" w:hAnsi="David"/>
          <w:b/>
          <w:bCs/>
          <w:sz w:val="28"/>
          <w:szCs w:val="28"/>
          <w:rtl/>
        </w:rPr>
        <w:t xml:space="preserve">נספח א: "האנשים החלולים" (מתוך געגועי לקיסינג'ר, 1994)</w:t>
      </w:r>
    </w:p>
    <w:p>
      <w:pPr>
        <w:bidi/>
        <w:spacing w:after="60" w:before="160" w:line="360"/>
        <w:jc w:val="right"/>
      </w:pPr>
      <w:r>
        <w:rPr>
          <w:rFonts w:ascii="David" w:cs="David" w:eastAsia="David" w:hAnsi="David"/>
          <w:b/>
          <w:bCs/>
          <w:color w:val="555555"/>
          <w:sz w:val="20"/>
          <w:szCs w:val="20"/>
          <w:rtl/>
        </w:rPr>
        <w:t xml:space="preserve">[עמ' 1]</w:t>
      </w:r>
    </w:p>
    <w:p>
      <w:pPr>
        <w:bidi/>
        <w:spacing w:after="120" w:line="360"/>
        <w:jc w:val="both"/>
      </w:pPr>
      <w:r>
        <w:rPr>
          <w:rFonts w:ascii="David" w:cs="David" w:eastAsia="David" w:hAnsi="David"/>
          <w:sz w:val="24"/>
          <w:szCs w:val="24"/>
          <w:rtl/>
        </w:rPr>
        <w:t xml:space="preserve">כשהייתי ילד היו באים אלינו כל מיני אנשים הביתה ודופקים בדלת. אבא היה מסתכל בחור של העינית אבל לא פותח. והם היו דופקים על הדלת, דופקים בפראות, ואני הייתי קצת מפחד מהם. אבל אבא היה תמיד ניגש אלי ונשכב לידי על השטיח, נשען עם הגב שלו על דופן הפסנתר ומחבק אותי חזק-חזק. "אל תפחד," היה לוחש, "אין ממה לפחד, זה בסך הכול האנשים החלולים." ואבא היה לוחש לי באוזן, "שיפמן, תפתח את הדלת. אנחנו יודעים שאתה שם," והאנשים היו חוזרים אחרי שנייה על הדברים של אבא, רק בקול. ואז הם היו מקיפים את הבית כמה פעמים, מנסים לפתוח את התריסים מבחוץ, ואבא היה ממלמל לי בשקט באוזן והם היו ממלמלים בחוץ אחריו, כמו הד. "אתה רואה," היה ממשיך אבא ללחוש, "אין ממה לפחד. הם אנשים</w:t>
      </w:r>
    </w:p>
    <w:p>
      <w:pPr>
        <w:bidi/>
        <w:spacing w:after="60" w:before="160" w:line="360"/>
        <w:jc w:val="right"/>
      </w:pPr>
      <w:r>
        <w:rPr>
          <w:rFonts w:ascii="David" w:cs="David" w:eastAsia="David" w:hAnsi="David"/>
          <w:b/>
          <w:bCs/>
          <w:color w:val="555555"/>
          <w:sz w:val="20"/>
          <w:szCs w:val="20"/>
          <w:rtl/>
        </w:rPr>
        <w:t xml:space="preserve">[עמ' 2]</w:t>
      </w:r>
    </w:p>
    <w:p>
      <w:pPr>
        <w:bidi/>
        <w:spacing w:after="120" w:line="360"/>
        <w:jc w:val="both"/>
      </w:pPr>
      <w:r>
        <w:rPr>
          <w:rFonts w:ascii="David" w:cs="David" w:eastAsia="David" w:hAnsi="David"/>
          <w:sz w:val="24"/>
          <w:szCs w:val="24"/>
          <w:rtl/>
        </w:rPr>
        <w:t xml:space="preserve">חלולים, בלי גוף, בלי כלום, סתם קולות." ואבא היה לוחש, "אנחנו עוד נחזור, שיפמן, מצאת לך עם מי להסתבך." והם היו חוזרים אחריו. והם תמיד חזרו, האנשים החלולים, ואנחנו תמיד התחבאנו.</w:t>
      </w:r>
    </w:p>
    <w:p>
      <w:pPr>
        <w:bidi/>
        <w:spacing w:after="120" w:line="360"/>
        <w:jc w:val="both"/>
      </w:pPr>
      <w:r>
        <w:rPr>
          <w:rFonts w:ascii="David" w:cs="David" w:eastAsia="David" w:hAnsi="David"/>
          <w:sz w:val="24"/>
          <w:szCs w:val="24"/>
          <w:rtl/>
        </w:rPr>
        <w:t xml:space="preserve">ואמא מתה בלי קול אבל עם גוף, והלכנו לקבור אותה. הבאנו אתנו גם איש שיבכה עליה ואבא הראה לי בספר בדיוק איזה בכיות כי גם האיש הזה היה מהם. ושבוע היה שקט, ואחר-כך שוב פעם הם באו. אנחנו המשכנו להתכרבל בפינה, לפעמים אבא היה אומר את מה שיגידו ולפעמים אני. ובפנים התפלאתי על זה שפעם פחדתי כל-כך והיום המלים שלי חוזרות מהם כמו כדור טניס שזרקתי על קיר. סתם, ממש סתם. וגם אבא מת בפינה שם ליד הפסנתר, כשאני מחבק אותו את החיבוק שהיה מחבק אותי כשעוד פחדתי. הוא שתק כשהורדנו אותו לקבר, והוא שתק כשהאיש בכה את הבכיות שידעתי שיבכה מהספר, והוא המשיך לשתוק גם כשכיסינו אותו באדמה. ואני</w:t>
      </w:r>
    </w:p>
    <w:p>
      <w:pPr>
        <w:bidi/>
        <w:spacing w:after="60" w:before="160" w:line="360"/>
        <w:jc w:val="right"/>
      </w:pPr>
      <w:r>
        <w:rPr>
          <w:rFonts w:ascii="David" w:cs="David" w:eastAsia="David" w:hAnsi="David"/>
          <w:b/>
          <w:bCs/>
          <w:color w:val="555555"/>
          <w:sz w:val="20"/>
          <w:szCs w:val="20"/>
          <w:rtl/>
        </w:rPr>
        <w:t xml:space="preserve">[עמ' 3]</w:t>
      </w:r>
    </w:p>
    <w:p>
      <w:pPr>
        <w:bidi/>
        <w:spacing w:after="120" w:line="360"/>
        <w:jc w:val="both"/>
      </w:pPr>
      <w:r>
        <w:rPr>
          <w:rFonts w:ascii="David" w:cs="David" w:eastAsia="David" w:hAnsi="David"/>
          <w:sz w:val="24"/>
          <w:szCs w:val="24"/>
          <w:rtl/>
        </w:rPr>
        <w:t xml:space="preserve">שתקתי אחריו כי בסופו של דבר גם אני, כנראה, הייתי אחד מהם.</w:t>
      </w:r>
    </w:p>
    <w:p>
      <w:r>
        <w:br w:type="page"/>
      </w:r>
    </w:p>
    <w:p>
      <w:pPr>
        <w:pStyle w:val="Heading2"/>
        <w:bidi/>
        <w:spacing w:after="120" w:before="240" w:line="360"/>
        <w:jc w:val="right"/>
      </w:pPr>
      <w:r>
        <w:rPr>
          <w:rFonts w:ascii="David" w:cs="David" w:eastAsia="David" w:hAnsi="David"/>
          <w:b/>
          <w:bCs/>
          <w:sz w:val="28"/>
          <w:szCs w:val="28"/>
          <w:rtl/>
        </w:rPr>
        <w:t xml:space="preserve">נספח ב: "מי כמונו יודע" (מתוך אוטוקורקט, 2024)</w:t>
      </w:r>
    </w:p>
    <w:p>
      <w:pPr>
        <w:bidi/>
        <w:spacing w:after="60" w:before="160" w:line="360"/>
        <w:jc w:val="right"/>
      </w:pPr>
      <w:r>
        <w:rPr>
          <w:rFonts w:ascii="David" w:cs="David" w:eastAsia="David" w:hAnsi="David"/>
          <w:b/>
          <w:bCs/>
          <w:color w:val="555555"/>
          <w:sz w:val="20"/>
          <w:szCs w:val="20"/>
          <w:rtl/>
        </w:rPr>
        <w:t xml:space="preserve">[עמ' 1]</w:t>
      </w:r>
    </w:p>
    <w:p>
      <w:pPr>
        <w:bidi/>
        <w:spacing w:after="120" w:line="360"/>
        <w:jc w:val="both"/>
      </w:pPr>
      <w:r>
        <w:rPr>
          <w:rFonts w:ascii="David" w:cs="David" w:eastAsia="David" w:hAnsi="David"/>
          <w:sz w:val="24"/>
          <w:szCs w:val="24"/>
          <w:rtl/>
        </w:rPr>
        <w:t xml:space="preserve">האיש שישב מולי בבית הקפה לא הפסיק לדבר. הוא היה אמריקאי, וסיפר לי שכתב שלושה ספרים, שאחד מהם זכה בפרס בינלאומי חשוב מאוד שלא שמעתי עליו מעולם. הוא דיבר מהר, כאילו יש לו יותר מדי דברים להגיד והוא חייב להספיק את כולם, וכל משפט שני שלו התחיל ב"ומי כמונו יודע..." זה גרם לי להרגיש כאילו אנחנו ישות אחת, תאומים סיאמיים שאמנם יכולים לנופף עצמאית, כל אחד בזרועותיו שלו, אבל חולקים לב אחד גדול וכואב שפועם כמו מטרונום ענקי שרק הוא ואני יכולים לשמוע. "...ומי כמונו יודע," הוא אמר שוב, "שיצירה היא בסך הכל פעולת הסחה. מראית עין של מציאות קרנבלית רוחשת שאמורה להסיח את דעתנו מהמציאות האמיתית הקרה,</w:t>
      </w:r>
    </w:p>
    <w:p>
      <w:pPr>
        <w:bidi/>
        <w:spacing w:after="60" w:before="160" w:line="360"/>
        <w:jc w:val="right"/>
      </w:pPr>
      <w:r>
        <w:rPr>
          <w:rFonts w:ascii="David" w:cs="David" w:eastAsia="David" w:hAnsi="David"/>
          <w:b/>
          <w:bCs/>
          <w:color w:val="555555"/>
          <w:sz w:val="20"/>
          <w:szCs w:val="20"/>
          <w:rtl/>
        </w:rPr>
        <w:t xml:space="preserve">[עמ' 2]</w:t>
      </w:r>
    </w:p>
    <w:p>
      <w:pPr>
        <w:bidi/>
        <w:spacing w:after="120" w:line="360"/>
        <w:jc w:val="both"/>
      </w:pPr>
      <w:r>
        <w:rPr>
          <w:rFonts w:ascii="David" w:cs="David" w:eastAsia="David" w:hAnsi="David"/>
          <w:sz w:val="24"/>
          <w:szCs w:val="24"/>
          <w:rtl/>
        </w:rPr>
        <w:t xml:space="preserve">המאכזבת ונטולת הנשמה."</w:t>
      </w:r>
    </w:p>
    <w:p>
      <w:pPr>
        <w:bidi/>
        <w:spacing w:after="120" w:line="360"/>
        <w:jc w:val="both"/>
      </w:pPr>
      <w:r>
        <w:rPr>
          <w:rFonts w:ascii="David" w:cs="David" w:eastAsia="David" w:hAnsi="David"/>
          <w:sz w:val="24"/>
          <w:szCs w:val="24"/>
          <w:rtl/>
        </w:rPr>
        <w:t xml:space="preserve">הסופר האמריקאי למד כתיבה באוניברסיטה נחשבת במידווסט וסיים את לימודיו שם בהצטיינות. הוא הקים משפחה, איבד ילד בתאונת דרכים נוראה, התגרש, התגייר, התפקר והצטרף לתנועה חברתית עולמית הדוגלת במינימליזם. הוא סיפר לי בגאווה שיש בבעלותו רק שני זוגות תחתונים ועט אחד. "בנאדם צריך תמיד שיהיה לו עוד זוג תחתונים, להחלפה, אבל עט?" הוא קרץ לי, "אחד זה די והותר."</w:t>
      </w:r>
    </w:p>
    <w:p>
      <w:pPr>
        <w:bidi/>
        <w:spacing w:after="120" w:line="360"/>
        <w:jc w:val="both"/>
      </w:pPr>
      <w:r>
        <w:rPr>
          <w:rFonts w:ascii="David" w:cs="David" w:eastAsia="David" w:hAnsi="David"/>
          <w:sz w:val="24"/>
          <w:szCs w:val="24"/>
          <w:rtl/>
        </w:rPr>
        <w:t xml:space="preserve">אמרתי לו שאני כותב במחשב, והוא נד בראשו בעצב. "זה מציב אותך בעמדת חולשה," הוא התריע. "עט זה עט, אבל מחשב זה כבר חשמל, תמיכה טכנית, עדכוני תוכנה ועוד כל מיני דברים שיכולים לעמוד בינך לבין היצירה." הינהנתי. אולי באמת עדיף לכתוב בעט. "אם זאת לא שאלה אישית מדי," הוא אמר בקול רך, "כמה זוגות תחתונים יש לך בארון?" אמרתי לו שאני לא זוכר. ידעתי שיש לי לפחות עשרים, אבל פחדתי</w:t>
      </w:r>
    </w:p>
    <w:p>
      <w:pPr>
        <w:bidi/>
        <w:spacing w:after="60" w:before="160" w:line="360"/>
        <w:jc w:val="right"/>
      </w:pPr>
      <w:r>
        <w:rPr>
          <w:rFonts w:ascii="David" w:cs="David" w:eastAsia="David" w:hAnsi="David"/>
          <w:b/>
          <w:bCs/>
          <w:color w:val="555555"/>
          <w:sz w:val="20"/>
          <w:szCs w:val="20"/>
          <w:rtl/>
        </w:rPr>
        <w:t xml:space="preserve">[עמ' 3]</w:t>
      </w:r>
    </w:p>
    <w:p>
      <w:pPr>
        <w:bidi/>
        <w:spacing w:after="120" w:line="360"/>
        <w:jc w:val="both"/>
      </w:pPr>
      <w:r>
        <w:rPr>
          <w:rFonts w:ascii="David" w:cs="David" w:eastAsia="David" w:hAnsi="David"/>
          <w:sz w:val="24"/>
          <w:szCs w:val="24"/>
          <w:rtl/>
        </w:rPr>
        <w:t xml:space="preserve">להעלות את זה. פחדתי שזה ירחיק בינינו. "תראה איזו שקיעה," אמר לי הסופר האמריקאי והצביע אל מעבר לכתפי הימנית. הסתובבתי אחורה מתוך נימוס. השמש בדיוק התחילה לשקוע בים. "אני ואתה, אנחנו בני מזל," הוא אמר. "תחשוב על זה. בזמן שהאדם הממוצע חווה את יופייה של השקיעה רק לרגע קצר אחד, אתה ואני יכולים, בעזרת הכתיבה, לשמר את היופי הזה לנצח." זאת באמת היתה שקיעה יפה, אבל הצוואר שלי התחיל לכאוב. "אני הולך לכתוב על השקיעה הזאת," אמר לי הסופר האמריקאי בטון נחוש שנשמע כמעט כמו איום. "גם אני," אמרתי, "גם אני." כבר אז ידעתי שהסיפור הבא שלי הולך להיות על מישהו שנתפס לו הצוואר.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David" w:cs="David" w:eastAsia="David" w:hAnsi="David"/>
      <w:b/>
      <w:bCs/>
      <w:color w:val="000000"/>
      <w:sz w:val="32"/>
      <w:szCs w:val="32"/>
    </w:rPr>
  </w:style>
  <w:style w:type="paragraph" w:styleId="Heading2">
    <w:name w:val="Heading 2"/>
    <w:basedOn w:val="Normal"/>
    <w:next w:val="Normal"/>
    <w:qFormat/>
    <w:pPr>
      <w:spacing w:after="120" w:before="240"/>
      <w:outlineLvl w:val="1"/>
    </w:pPr>
    <w:rPr>
      <w:rFonts w:ascii="David" w:cs="David" w:eastAsia="David" w:hAnsi="David"/>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פרקים 2-4: ניתוח הסיפורים</dc:title>
  <dc:creator>Seminar</dc:creator>
  <cp:lastModifiedBy>Un-named</cp:lastModifiedBy>
  <cp:revision>1</cp:revision>
  <dcterms:created xsi:type="dcterms:W3CDTF">2026-09-07T09:31:28.929Z</dcterms:created>
  <dcterms:modified xsi:type="dcterms:W3CDTF">2026-09-07T09:31:28.929Z</dcterms:modified>
</cp:coreProperties>
</file>

<file path=docProps/custom.xml><?xml version="1.0" encoding="utf-8"?>
<Properties xmlns="http://schemas.openxmlformats.org/officeDocument/2006/custom-properties" xmlns:vt="http://schemas.openxmlformats.org/officeDocument/2006/docPropsVTypes"/>
</file>