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bidi/>
        <w:spacing w:after="200" w:line="360"/>
        <w:jc w:val="center"/>
      </w:pPr>
      <w:r>
        <w:rPr>
          <w:rFonts w:ascii="Simplified Arabic" w:cs="Simplified Arabic" w:eastAsia="Simplified Arabic" w:hAnsi="Simplified Arabic"/>
          <w:b/>
          <w:bCs/>
          <w:sz w:val="36"/>
          <w:szCs w:val="36"/>
          <w:rtl/>
        </w:rPr>
        <w:t xml:space="preserve">أكاديميّة القاسمي</w:t>
      </w:r>
    </w:p>
    <w:p>
      <w:pPr>
        <w:bidi/>
        <w:spacing w:after="200" w:line="360"/>
        <w:jc w:val="center"/>
      </w:pPr>
      <w:r>
        <w:rPr>
          <w:rFonts w:ascii="Simplified Arabic" w:cs="Simplified Arabic" w:eastAsia="Simplified Arabic" w:hAnsi="Simplified Arabic"/>
          <w:b/>
          <w:bCs/>
          <w:sz w:val="32"/>
          <w:szCs w:val="32"/>
          <w:rtl/>
        </w:rPr>
        <w:t xml:space="preserve">كلّيّة أكاديميّة للتربية</w:t>
      </w:r>
    </w:p>
    <w:p/>
    <w:p/>
    <w:p>
      <w:pPr>
        <w:bidi/>
        <w:spacing w:after="200" w:line="360"/>
        <w:jc w:val="center"/>
      </w:pPr>
      <w:r>
        <w:rPr>
          <w:rFonts w:ascii="Simplified Arabic" w:cs="Simplified Arabic" w:eastAsia="Simplified Arabic" w:hAnsi="Simplified Arabic"/>
          <w:b/>
          <w:bCs/>
          <w:sz w:val="28"/>
          <w:szCs w:val="28"/>
          <w:rtl/>
        </w:rPr>
        <w:t xml:space="preserve">بحث بعنوان:</w:t>
      </w:r>
    </w:p>
    <w:p>
      <w:pPr>
        <w:bidi/>
        <w:spacing w:after="200" w:line="36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30"/>
          <w:szCs w:val="30"/>
          <w:rtl/>
        </w:rPr>
        <w:t xml:space="preserve">دراسة فقهيّة طبيّة قانونيّة مقارنة</w:t>
      </w:r>
    </w:p>
    <w:p/>
    <w:p>
      <w:pPr>
        <w:bidi/>
        <w:spacing w:after="200" w:line="360"/>
        <w:jc w:val="center"/>
      </w:pPr>
      <w:r>
        <w:rPr>
          <w:rFonts w:ascii="Simplified Arabic" w:cs="Simplified Arabic" w:eastAsia="Simplified Arabic" w:hAnsi="Simplified Arabic"/>
          <w:b/>
          <w:bCs/>
          <w:sz w:val="26"/>
          <w:szCs w:val="26"/>
          <w:rtl/>
        </w:rPr>
        <w:t xml:space="preserve">ضمن مساق:</w:t>
      </w:r>
    </w:p>
    <w:p>
      <w:pPr>
        <w:bidi/>
        <w:spacing w:after="200" w:line="360"/>
        <w:jc w:val="center"/>
      </w:pPr>
      <w:r>
        <w:rPr>
          <w:rFonts w:ascii="Simplified Arabic" w:cs="Simplified Arabic" w:eastAsia="Simplified Arabic" w:hAnsi="Simplified Arabic"/>
          <w:b/>
          <w:bCs/>
          <w:sz w:val="28"/>
          <w:szCs w:val="28"/>
          <w:rtl/>
        </w:rPr>
        <w:t xml:space="preserve">حلقة بحث قضايا فقهيّة ودينيّة معاصرة</w:t>
      </w:r>
    </w:p>
    <w:p/>
    <w:p>
      <w:pPr>
        <w:bidi/>
        <w:spacing w:after="200" w:line="360"/>
        <w:jc w:val="center"/>
      </w:pPr>
      <w:r>
        <w:rPr>
          <w:rFonts w:ascii="Simplified Arabic" w:cs="Simplified Arabic" w:eastAsia="Simplified Arabic" w:hAnsi="Simplified Arabic"/>
          <w:b/>
          <w:bCs/>
          <w:sz w:val="26"/>
          <w:szCs w:val="26"/>
          <w:rtl/>
        </w:rPr>
        <w:t xml:space="preserve">مقدَّم من الطالب:</w:t>
      </w:r>
    </w:p>
    <w:p>
      <w:pPr>
        <w:bidi/>
        <w:spacing w:after="200" w:line="360"/>
        <w:jc w:val="center"/>
      </w:pPr>
      <w:r>
        <w:rPr>
          <w:rFonts w:ascii="Simplified Arabic" w:cs="Simplified Arabic" w:eastAsia="Simplified Arabic" w:hAnsi="Simplified Arabic"/>
          <w:b/>
          <w:bCs/>
          <w:sz w:val="28"/>
          <w:szCs w:val="28"/>
          <w:rtl/>
        </w:rPr>
        <w:t xml:space="preserve">عبد المهدي دحلة - 212684527</w:t>
      </w:r>
    </w:p>
    <w:p>
      <w:pPr>
        <w:bidi/>
        <w:spacing w:after="200" w:line="360"/>
        <w:jc w:val="center"/>
      </w:pPr>
      <w:r>
        <w:rPr>
          <w:rFonts w:ascii="Simplified Arabic" w:cs="Simplified Arabic" w:eastAsia="Simplified Arabic" w:hAnsi="Simplified Arabic"/>
          <w:b/>
          <w:bCs/>
          <w:sz w:val="26"/>
          <w:szCs w:val="26"/>
          <w:rtl/>
        </w:rPr>
        <w:t xml:space="preserve">التخصص: دين ولغة عربية</w:t>
      </w:r>
    </w:p>
    <w:p/>
    <w:p>
      <w:pPr>
        <w:bidi/>
        <w:spacing w:after="200" w:line="360"/>
        <w:jc w:val="center"/>
      </w:pPr>
      <w:r>
        <w:rPr>
          <w:rFonts w:ascii="Simplified Arabic" w:cs="Simplified Arabic" w:eastAsia="Simplified Arabic" w:hAnsi="Simplified Arabic"/>
          <w:b/>
          <w:bCs/>
          <w:sz w:val="26"/>
          <w:szCs w:val="26"/>
          <w:rtl/>
        </w:rPr>
        <w:t xml:space="preserve">مقدَّم إلى المحاضر:</w:t>
      </w:r>
    </w:p>
    <w:p>
      <w:pPr>
        <w:bidi/>
        <w:spacing w:after="200" w:line="360"/>
        <w:jc w:val="center"/>
      </w:pPr>
      <w:r>
        <w:rPr>
          <w:rFonts w:ascii="Simplified Arabic" w:cs="Simplified Arabic" w:eastAsia="Simplified Arabic" w:hAnsi="Simplified Arabic"/>
          <w:b/>
          <w:bCs/>
          <w:sz w:val="28"/>
          <w:szCs w:val="28"/>
          <w:rtl/>
        </w:rPr>
        <w:t xml:space="preserve">د. عوني مصاروة</w:t>
      </w:r>
    </w:p>
    <w:p/>
    <w:p>
      <w:pPr>
        <w:bidi/>
        <w:spacing w:after="200" w:line="360"/>
        <w:jc w:val="center"/>
      </w:pPr>
      <w:r>
        <w:rPr>
          <w:rFonts w:ascii="Simplified Arabic" w:cs="Simplified Arabic" w:eastAsia="Simplified Arabic" w:hAnsi="Simplified Arabic"/>
          <w:b/>
          <w:bCs/>
          <w:sz w:val="26"/>
          <w:szCs w:val="26"/>
          <w:rtl/>
        </w:rPr>
        <w:t xml:space="preserve">السنة الدراسيّة:</w:t>
      </w:r>
    </w:p>
    <w:p>
      <w:pPr>
        <w:bidi/>
        <w:spacing w:after="200" w:line="360"/>
        <w:jc w:val="center"/>
      </w:pPr>
      <w:r>
        <w:rPr>
          <w:rFonts w:ascii="Simplified Arabic" w:cs="Simplified Arabic" w:eastAsia="Simplified Arabic" w:hAnsi="Simplified Arabic"/>
          <w:b/>
          <w:bCs/>
          <w:sz w:val="26"/>
          <w:szCs w:val="26"/>
          <w:rtl/>
        </w:rPr>
        <w:t xml:space="preserve">1447هـ</w:t>
      </w:r>
    </w:p>
    <w:p>
      <w:pPr>
        <w:bidi/>
        <w:spacing w:after="200" w:line="360"/>
        <w:jc w:val="center"/>
      </w:pPr>
      <w:r>
        <w:rPr>
          <w:rFonts w:ascii="Simplified Arabic" w:cs="Simplified Arabic" w:eastAsia="Simplified Arabic" w:hAnsi="Simplified Arabic"/>
          <w:b/>
          <w:bCs/>
          <w:sz w:val="26"/>
          <w:szCs w:val="26"/>
          <w:rtl/>
        </w:rPr>
        <w:t xml:space="preserve">2025/2026م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المقدّمة</w:t>
      </w:r>
    </w:p>
    <w:p>
      <w:pPr>
        <w:bidi/>
        <w:spacing w:after="160" w:line="36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طبيب القلوب ومعلّم الأمة، وعلى آله وصحبه أجمعين، أما بعد:</w:t>
      </w:r>
    </w:p>
    <w:p>
      <w:pPr>
        <w:bidi/>
        <w:spacing w:after="160" w:line="36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في مرتبة تالية لحفظ الدين من مقاصدها الضروريّة،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وقد قال النبيّ صلى الله عليه وسلم: </w:t>
      </w:r>
      <w:r>
        <w:rPr>
          <w:rFonts w:ascii="Simplified Arabic" w:cs="Simplified Arabic" w:eastAsia="Simplified Arabic" w:hAnsi="Simplified Arabic"/>
          <w:b/>
          <w:bCs/>
          <w:sz w:val="28"/>
          <w:szCs w:val="28"/>
          <w:rtl/>
        </w:rPr>
        <w:t xml:space="preserve">"كسرُ عظمِ الميّتِ ككسرِه حيًّا"</w:t>
      </w:r>
      <w:r>
        <w:rPr>
          <w:rStyle w:val="FootnoteReference"/>
        </w:rPr>
        <w:footnoteReference w:id="1"/>
      </w:r>
      <w:r>
        <w:rPr>
          <w:rFonts w:ascii="Simplified Arabic" w:cs="Simplified Arabic" w:eastAsia="Simplified Arabic" w:hAnsi="Simplified Arabic"/>
          <w:b w:val="false"/>
          <w:bCs w:val="false"/>
          <w:sz w:val="28"/>
          <w:szCs w:val="28"/>
          <w:rtl/>
        </w:rPr>
        <w:t xml:space="preserve">، فدلّ ذلك على أنّ حرمة المسلم ميّتًا كحرمته حيًّا.</w:t>
      </w:r>
    </w:p>
    <w:p>
      <w:pPr>
        <w:bidi/>
        <w:spacing w:after="160" w:line="36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160" w:line="360"/>
        <w:jc w:val="both"/>
      </w:pPr>
      <w:r>
        <w:rPr>
          <w:rFonts w:ascii="Simplified Arabic" w:cs="Simplified Arabic" w:eastAsia="Simplified Arabic" w:hAnsi="Simplified Arabic"/>
          <w:b w:val="false"/>
          <w:bCs w:val="false"/>
          <w:sz w:val="28"/>
          <w:szCs w:val="28"/>
          <w:rtl/>
        </w:rPr>
        <w:t xml:space="preserve">ومن هنا جاء هذا البحث، الذي يسعى إلى دراسة الأحكام الفقهيّة المتعلقة بنزع الأجهزة الطبيّة عن الميت سريريًّا دراسةً تأصيليّة مقارنة، من خلال استقراء أقوال الفقهاء المعاصرين وقرارات المجامع الفقهيّة، وربطها بالمعطيات الطبيّة الحديثة، مع الإشارة إلى الموقف القانونيّ، بهدف الوصول إلى تصوّر شرعيّ منضبط يراعي مقاصد الشريعة ومتطلبات الواقع الطبيّ المعاصر.</w:t>
      </w:r>
    </w:p>
    <w:p>
      <w:pPr>
        <w:bidi/>
        <w:spacing w:after="160" w:line="360"/>
        <w:jc w:val="both"/>
      </w:pPr>
      <w:r>
        <w:rPr>
          <w:rFonts w:ascii="Simplified Arabic" w:cs="Simplified Arabic" w:eastAsia="Simplified Arabic" w:hAnsi="Simplified Arabic"/>
          <w:b w:val="false"/>
          <w:bCs w:val="false"/>
          <w:sz w:val="28"/>
          <w:szCs w:val="28"/>
          <w:rtl/>
        </w:rPr>
        <w:t xml:space="preserve">والله وليّ التوفيق.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ملخّص البحث</w:t>
      </w:r>
    </w:p>
    <w:p>
      <w:pPr>
        <w:bidi/>
        <w:spacing w:after="160" w:line="360"/>
        <w:jc w:val="both"/>
      </w:pPr>
      <w:r>
        <w:rPr>
          <w:rFonts w:ascii="Simplified Arabic" w:cs="Simplified Arabic" w:eastAsia="Simplified Arabic" w:hAnsi="Simplified Arabic"/>
          <w:b w:val="false"/>
          <w:bCs w:val="false"/>
          <w:sz w:val="28"/>
          <w:szCs w:val="28"/>
          <w:rtl/>
        </w:rPr>
        <w:t xml:space="preserve">هدف هذا البحث إلى بيان الأحكام الفقهيّة المتعلقة بنزع الأجهزة الطبيّة عن الميت سريريًّا، من النواحي الفقهيّة والطبيّة والقانونيّة، وذلك بعد تحرير المصطلحات المتداخلة في هذه المسألة، إذ يشيع في الاستعمال الفقهيّ المعاصر إطلاق "الميت سريريًّا" على من تعطّل دماغه تعطّلًا نهائيًّا مع بقاء قلبه نابضًا بفعل أجهزة الإنعاش، بينما يفرّق الاصطلاح الطبيّ الدقيق بين الموت السريريّ القابل للإنعاش والموت الدماغيّ الذي لا رجعة فيه.</w:t>
      </w:r>
    </w:p>
    <w:p>
      <w:pPr>
        <w:bidi/>
        <w:spacing w:after="160" w:line="360"/>
        <w:jc w:val="both"/>
      </w:pPr>
      <w:r>
        <w:rPr>
          <w:rFonts w:ascii="Simplified Arabic" w:cs="Simplified Arabic" w:eastAsia="Simplified Arabic" w:hAnsi="Simplified Arabic"/>
          <w:b w:val="false"/>
          <w:bCs w:val="false"/>
          <w:sz w:val="28"/>
          <w:szCs w:val="28"/>
          <w:rtl/>
        </w:rPr>
        <w:t xml:space="preserve">عرض البحث المفهوم الطبيّ للموت الدماغيّ ومعايير تشخيصه المعتمدة عالميًّا، من الفحص السريريّ واختبار انقطاع النفَس والفحوص المساندة، ثم أصّل مفهوم الموت في الفقه الإسلاميّ وعلاماته عند الفقهاء المتقدّمين، وقابل بين المفهومَين. ثم حرّر محلّ الاتفاق ومحلّ النزاع في مسألة نزع الأجهزة، وعرض قولَي الفقهاء المعاصرين في اعتبار الموت الدماغيّ موتًا شرعيًّا، مع أدلّة كلّ فريق ومناقشتها، وبيّن الضوابط والشروط الشرعيّة المعتبرة لجواز النزع.</w:t>
      </w:r>
    </w:p>
    <w:p>
      <w:pPr>
        <w:bidi/>
        <w:spacing w:after="160" w:line="360"/>
        <w:jc w:val="both"/>
      </w:pPr>
      <w:r>
        <w:rPr>
          <w:rFonts w:ascii="Simplified Arabic" w:cs="Simplified Arabic" w:eastAsia="Simplified Arabic" w:hAnsi="Simplified Arabic"/>
          <w:b w:val="false"/>
          <w:bCs w:val="false"/>
          <w:sz w:val="28"/>
          <w:szCs w:val="28"/>
          <w:rtl/>
        </w:rPr>
        <w:t xml:space="preserve">كما عرض البحث قرارات المجامع الفقهيّة، وفي مقدّمتها قرار مجمع الفقه الإسلاميّ الدوليّ في عمّان سنة 1986م وقرار المجمع الفقهيّ برابطة العالم الإسلاميّ سنة 1987م، وموقف القوانين الوضعيّة العربيّة والأجنبيّة من تحديد لحظة الوفاة ورفع الأجهزة، وما يترتب على ذلك من مسؤوليّة طبيّة. وانتهى البحث إلى ترجيح جواز نزع الأجهزة عمّن ثبت موته الدماغيّ بالضوابط الشرعيّة والطبيّة، مع الاحتياط في الأحكام الشرعيّة المترتبة على الوفاة، كالإرث والعدّة، فلا تجري إلا بعد التوقف التامّ للقلب والتنفّس، ثم ختم بجملة من النتائج والتوصيات العمليّة.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أهميّة البحث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معالجة مسألة فقهيّة معاصرة ذات أبعاد طبيّة وقانونيّة وأخلاقيّة تمسّ حياة الناس وموتهم.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الحكم الشرعيّ لنزع الأجهزة الطبيّة عن الميت سريريًّا، وهي مسألة تقع كلّ يوم في أقسام العناية المركّزة.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الإسهام في ضبط مفهوم الموت السريريّ والموت الدماغيّ فقهيًّا، ورفع الاشتباه الاصطلاحيّ الواقع بينهما.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توضيح الضوابط الشرعيّة التي تحكم قرارات الأطباء وذوي المرضى في هذه الحالات الحرجة.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ربط الفقه الإسلاميّ بالتطوّرات الطبيّة الحديثة، وإظهار سعة الشريعة واستيعابها للنوازل.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الإفادة العلميّة لطلبة الشريعة والطبّ والقانون، ولكلّ من تنزل به هذه النازلة في أهله.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أسباب اختيار هذه الدراسة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المستشفيات، وحيرة كثير من الأسر المسلمة بين إبقاء الأجهزة ونزعها.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تأصيل مفهوم الموت في الفقه الإسلاميّ ومقارنته بالمفهوم الطبيّ.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المتعلقة بالموت ونزع الأجهزة.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من نزع الأجهزة الطبيّة عن الميت سريريًّا.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إشكاليّة البحث:</w:t>
      </w:r>
    </w:p>
    <w:p>
      <w:pPr>
        <w:bidi/>
        <w:spacing w:after="160" w:line="36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أسئلة البحث الفرعيّة: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والقوانين الوضعيّة من هذه المسألة؟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160" w:line="36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استقراء النصوص الشرعيّة المتعلقة بحفظ النفس والموت.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جمع أقوال الفقهاء المعاصرين وقرارات المجامع الفقهيّة.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تحليل المعطيات الطبيّة المتعلقة بالموت السريريّ والموت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المقارنة بين الآراء الفقهيّة والترجيح بينها وفق القواعد الأصوليّة.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الاستعانة بالمراجع الطبيّة والقانونيّة فيما يخدم موضوع البحث.</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الأوّل: الإطار المفاهيميّ للموت والأجهزة الطبيّة</w:t>
      </w:r>
    </w:p>
    <w:p>
      <w:pPr>
        <w:bidi/>
        <w:spacing w:after="200" w:line="360"/>
        <w:jc w:val="center"/>
      </w:pPr>
      <w:r>
        <w:rPr>
          <w:rFonts w:ascii="Simplified Arabic" w:cs="Simplified Arabic" w:eastAsia="Simplified Arabic" w:hAnsi="Simplified Arabic"/>
          <w:b/>
          <w:bCs/>
          <w:sz w:val="28"/>
          <w:szCs w:val="28"/>
          <w:rtl/>
        </w:rPr>
        <w:t xml:space="preserve">وفيه ثلاثة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تعريف الموت لغةً واصطلاحًا.</w:t>
      </w:r>
    </w:p>
    <w:p>
      <w:pPr>
        <w:bidi/>
        <w:spacing w:after="200" w:line="360"/>
        <w:jc w:val="center"/>
      </w:pPr>
      <w:r>
        <w:rPr>
          <w:rFonts w:ascii="Simplified Arabic" w:cs="Simplified Arabic" w:eastAsia="Simplified Arabic" w:hAnsi="Simplified Arabic"/>
          <w:b/>
          <w:bCs/>
          <w:sz w:val="28"/>
          <w:szCs w:val="28"/>
          <w:rtl/>
        </w:rPr>
        <w:t xml:space="preserve">المبحث الثاني: مفهوم الموت في الفقه الإسلاميّ وعلاماته.</w:t>
      </w:r>
    </w:p>
    <w:p>
      <w:pPr>
        <w:bidi/>
        <w:spacing w:after="200" w:line="360"/>
        <w:jc w:val="center"/>
      </w:pPr>
      <w:r>
        <w:rPr>
          <w:rFonts w:ascii="Simplified Arabic" w:cs="Simplified Arabic" w:eastAsia="Simplified Arabic" w:hAnsi="Simplified Arabic"/>
          <w:b/>
          <w:bCs/>
          <w:sz w:val="28"/>
          <w:szCs w:val="28"/>
          <w:rtl/>
        </w:rPr>
        <w:t xml:space="preserve">المبحث الثالث: تعريف الأجهزة الطبيّة وأنواعها ووظائفها.</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تعريف الموت لغةً واصطلاحًا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تعريف الموت لغةً.</w:t>
      </w:r>
    </w:p>
    <w:p>
      <w:pPr>
        <w:bidi/>
        <w:spacing w:after="160" w:line="360"/>
        <w:jc w:val="both"/>
      </w:pPr>
      <w:r>
        <w:rPr>
          <w:rFonts w:ascii="Simplified Arabic" w:cs="Simplified Arabic" w:eastAsia="Simplified Arabic" w:hAnsi="Simplified Arabic"/>
          <w:b w:val="false"/>
          <w:bCs w:val="false"/>
          <w:sz w:val="28"/>
          <w:szCs w:val="28"/>
          <w:rtl/>
        </w:rPr>
        <w:t xml:space="preserve">الموت في اللغة ضدّ الحياة، يقال: مات يموت موتًا فهو ميْت وميِّت، والجمع أموات وموتى. قال ابن منظور</w:t>
      </w:r>
      <w:r>
        <w:rPr>
          <w:rStyle w:val="FootnoteReference"/>
        </w:rPr>
        <w:footnoteReference w:id="2"/>
      </w:r>
      <w:r>
        <w:rPr>
          <w:rFonts w:ascii="Simplified Arabic" w:cs="Simplified Arabic" w:eastAsia="Simplified Arabic" w:hAnsi="Simplified Arabic"/>
          <w:b w:val="false"/>
          <w:bCs w:val="false"/>
          <w:sz w:val="28"/>
          <w:szCs w:val="28"/>
          <w:rtl/>
        </w:rPr>
        <w:t xml:space="preserve">: "الموت: خلاف الحياة"، ويطلق الموت في اللغة أيضًا على السكون وذهاب القوّة، فيقال: ماتت الريح إذا سكنت، ومات الماء إذا فتر</w:t>
      </w:r>
      <w:r>
        <w:rPr>
          <w:rStyle w:val="FootnoteReference"/>
        </w:rPr>
        <w:footnoteReference w:id="3"/>
      </w:r>
      <w:r>
        <w:rPr>
          <w:rFonts w:ascii="Simplified Arabic" w:cs="Simplified Arabic" w:eastAsia="Simplified Arabic" w:hAnsi="Simplified Arabic"/>
          <w:b w:val="false"/>
          <w:bCs w:val="false"/>
          <w:sz w:val="28"/>
          <w:szCs w:val="28"/>
          <w:rtl/>
        </w:rPr>
        <w:t xml:space="preserve">. وعرّفه الفيروزآباديّ في القاموس المحيط بأنه ضدّ الحياة وذهابها</w:t>
      </w:r>
      <w:r>
        <w:rPr>
          <w:rStyle w:val="FootnoteReference"/>
        </w:rPr>
        <w:footnoteReference w:id="4"/>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تعريف الموت اصطلاحًا (شرعًا).</w:t>
      </w:r>
    </w:p>
    <w:p>
      <w:pPr>
        <w:bidi/>
        <w:spacing w:after="160" w:line="360"/>
        <w:jc w:val="both"/>
      </w:pPr>
      <w:r>
        <w:rPr>
          <w:rFonts w:ascii="Simplified Arabic" w:cs="Simplified Arabic" w:eastAsia="Simplified Arabic" w:hAnsi="Simplified Arabic"/>
          <w:b w:val="false"/>
          <w:bCs w:val="false"/>
          <w:sz w:val="28"/>
          <w:szCs w:val="28"/>
          <w:rtl/>
        </w:rPr>
        <w:t xml:space="preserve">المشهور عند الفقهاء أنّ الموت هو مفارقة الروح للبدن وانقطاع تعلّقها به انقطاعًا كليًّا، وهو حقيقة غيبيّة لا تُدرك بذاتها، وإنما تُدرك بعلاماتها وآثارها الظاهرة على البدن</w:t>
      </w:r>
      <w:r>
        <w:rPr>
          <w:rStyle w:val="FootnoteReference"/>
        </w:rPr>
        <w:footnoteReference w:id="5"/>
      </w:r>
      <w:r>
        <w:rPr>
          <w:rFonts w:ascii="Simplified Arabic" w:cs="Simplified Arabic" w:eastAsia="Simplified Arabic" w:hAnsi="Simplified Arabic"/>
          <w:b w:val="false"/>
          <w:bCs w:val="false"/>
          <w:sz w:val="28"/>
          <w:szCs w:val="28"/>
          <w:rtl/>
        </w:rPr>
        <w:t xml:space="preserve">. قال الله تعالى: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(الزمر: 42)، وقال سبحانه: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(آل عمران: 185)، فدلّت الآيات على أنّ الموت توفٍّ للنفس وقبضٌ لها، وأنه سنّة الله في خلقه لا يفلت منها أحد.</w:t>
      </w:r>
    </w:p>
    <w:p>
      <w:pPr>
        <w:bidi/>
        <w:spacing w:after="160" w:line="360"/>
        <w:jc w:val="both"/>
      </w:pPr>
      <w:r>
        <w:rPr>
          <w:rFonts w:ascii="Simplified Arabic" w:cs="Simplified Arabic" w:eastAsia="Simplified Arabic" w:hAnsi="Simplified Arabic"/>
          <w:b w:val="false"/>
          <w:bCs w:val="false"/>
          <w:sz w:val="28"/>
          <w:szCs w:val="28"/>
          <w:rtl/>
        </w:rPr>
        <w:t xml:space="preserve">ولمّا كانت مفارقة الروح أمرًا غيبيًّا لا يشاهَد، اعتمد الفقهاء في الحكم بالموت على العلامات الظاهرة، وأحالوا معرفة تحقّقها إلى أهل الخبرة، ومن هنا كان الباب مفتوحًا أمام تجدّد العلامات بتجدّد وسائل الكشف الطبيّ</w:t>
      </w:r>
      <w:r>
        <w:rPr>
          <w:rStyle w:val="FootnoteReference"/>
        </w:rPr>
        <w:footnoteReference w:id="6"/>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تعريف الموت طبيًّا.</w:t>
      </w:r>
    </w:p>
    <w:p>
      <w:pPr>
        <w:bidi/>
        <w:spacing w:after="160" w:line="360"/>
        <w:jc w:val="both"/>
      </w:pPr>
      <w:r>
        <w:rPr>
          <w:rFonts w:ascii="Simplified Arabic" w:cs="Simplified Arabic" w:eastAsia="Simplified Arabic" w:hAnsi="Simplified Arabic"/>
          <w:b w:val="false"/>
          <w:bCs w:val="false"/>
          <w:sz w:val="28"/>
          <w:szCs w:val="28"/>
          <w:rtl/>
        </w:rPr>
        <w:t xml:space="preserve">عرّف الأطباء الموت بأنه التوقف النهائيّ الذي لا رجعة فيه لوظائف الأعضاء الحيويّة الثلاثة: الدماغ والقلب والرئتين، وهي ما يسمّى عندهم بالمثلث الحيويّ، فإذا توقف أحد أضلاع هذا المثلث توقفًا لا رجعة فيه تبعه الضلعان الآخران خلال مدّة وجيزة ما لم يتدخّل الطبّ بوسائله</w:t>
      </w:r>
      <w:r>
        <w:rPr>
          <w:rStyle w:val="FootnoteReference"/>
        </w:rPr>
        <w:footnoteReference w:id="7"/>
      </w:r>
      <w:r>
        <w:rPr>
          <w:rFonts w:ascii="Simplified Arabic" w:cs="Simplified Arabic" w:eastAsia="Simplified Arabic" w:hAnsi="Simplified Arabic"/>
          <w:b w:val="false"/>
          <w:bCs w:val="false"/>
          <w:sz w:val="28"/>
          <w:szCs w:val="28"/>
          <w:rtl/>
        </w:rPr>
        <w:t xml:space="preserve">. غير أنّ التطوّر الطبيّ الحديث فكّ هذا الترابط الزمنيّ بين الأعضاء الثلاثة، فقد يتوقف الدماغ كليًّا ويبقى القلب نابضًا بفعل أجهزة الإنعاش، وهنا نشأت الحاجة إلى إعادة تحديد لحظة الموت</w:t>
      </w:r>
      <w:r>
        <w:rPr>
          <w:rStyle w:val="FootnoteReference"/>
        </w:rPr>
        <w:footnoteReference w:id="8"/>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مفهوم الموت في الفقه الإسلاميّ وعلاماته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علامات الموت عند الفقهاء المتقدّمين.</w:t>
      </w:r>
    </w:p>
    <w:p>
      <w:pPr>
        <w:bidi/>
        <w:spacing w:after="160" w:line="360"/>
        <w:jc w:val="both"/>
      </w:pPr>
      <w:r>
        <w:rPr>
          <w:rFonts w:ascii="Simplified Arabic" w:cs="Simplified Arabic" w:eastAsia="Simplified Arabic" w:hAnsi="Simplified Arabic"/>
          <w:b w:val="false"/>
          <w:bCs w:val="false"/>
          <w:sz w:val="28"/>
          <w:szCs w:val="28"/>
          <w:rtl/>
        </w:rPr>
        <w:t xml:space="preserve">ذكر الفقهاء المتقدّمون في كتب الجنائز جملة من العلامات التي يُستدلّ بها على تحقق الموت، منها: انقطاع النفَس، واسترخاء القدمين، وانفصال الكفّين، وميل الأنف، وامتداد جلدة الوجه، وانخساف الصدغين، وتقلّص الخصيتين</w:t>
      </w:r>
      <w:r>
        <w:rPr>
          <w:rStyle w:val="FootnoteReference"/>
        </w:rPr>
        <w:footnoteReference w:id="9"/>
      </w:r>
      <w:r>
        <w:rPr>
          <w:rFonts w:ascii="Simplified Arabic" w:cs="Simplified Arabic" w:eastAsia="Simplified Arabic" w:hAnsi="Simplified Arabic"/>
          <w:b w:val="false"/>
          <w:bCs w:val="false"/>
          <w:sz w:val="28"/>
          <w:szCs w:val="28"/>
          <w:rtl/>
        </w:rPr>
        <w:t xml:space="preserve">. وهذه العلامات مبناها على المشاهدة الحسيّة المتاحة في عصورهم، ولم يجعلها الفقهاء تعبّدية توقيفيّة، بل هي وسائل كشف عن حقيقة واحدة هي مفارقة الروح، ولذلك نصّوا على أنه إذا شُكّ في الموت وجب التأخير حتى يُتيقّن بتغيّر الرائحة أو نحوه، عملًا بقاعدة أنّ اليقين لا يزول بالشكّ</w:t>
      </w:r>
      <w:r>
        <w:rPr>
          <w:rStyle w:val="FootnoteReference"/>
        </w:rPr>
        <w:footnoteReference w:id="10"/>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الآثار الشرعيّة المترتبة على تحقق الموت.</w:t>
      </w:r>
    </w:p>
    <w:p>
      <w:pPr>
        <w:bidi/>
        <w:spacing w:after="160" w:line="360"/>
        <w:jc w:val="both"/>
      </w:pPr>
      <w:r>
        <w:rPr>
          <w:rFonts w:ascii="Simplified Arabic" w:cs="Simplified Arabic" w:eastAsia="Simplified Arabic" w:hAnsi="Simplified Arabic"/>
          <w:b w:val="false"/>
          <w:bCs w:val="false"/>
          <w:sz w:val="28"/>
          <w:szCs w:val="28"/>
          <w:rtl/>
        </w:rPr>
        <w:t xml:space="preserve">يترتب على الحكم بموت الإنسان جملة كبيرة من الأحكام الشرعيّة، منها: وجوب تجهيزه وغسله وتكفينه والصلاة عليه ودفنه، وانتقال أمواله إلى ورثته، وابتداء عدّة زوجته، وحلول ديونه المؤجّلة، ونفاذ وصاياه في حدود الثلث، وانفساخ الوكالات الصادرة منه. ولهذا كان تحديد لحظة الموت تحديدًا دقيقًا أمرًا بالغ الخطورة، إذ يتوقف عليه إجراء هذه الأحكام أو تأخيرها، فالتعجّل فيه قبل تحقق الموت اعتداء على حيّ، والتأخّر فيه بعد تحققه تعطيل لحقوق الورثة وإرهاق للأحياء.</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كرامة الميت وحرمة جسده.</w:t>
      </w:r>
    </w:p>
    <w:p>
      <w:pPr>
        <w:bidi/>
        <w:spacing w:after="160" w:line="360"/>
        <w:jc w:val="both"/>
      </w:pPr>
      <w:r>
        <w:rPr>
          <w:rFonts w:ascii="Simplified Arabic" w:cs="Simplified Arabic" w:eastAsia="Simplified Arabic" w:hAnsi="Simplified Arabic"/>
          <w:b w:val="false"/>
          <w:bCs w:val="false"/>
          <w:sz w:val="28"/>
          <w:szCs w:val="28"/>
          <w:rtl/>
        </w:rPr>
        <w:t xml:space="preserve">كرّم الله تعالى الإنسان حيًّا وميتًا، قال سبحانه: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(الإسراء: 70)، ومن مقتضيات هذا التكريم حرمة الاعتداء على جسد الميت أو امتهانه أو تشويهه، وقد تقدّم قوله صلى الله عليه وسلم: "كسر عظم الميت ككسره حيًّا". وهذا الأصل حاضر في مسألتنا من جهتين: فمن جهةٍ يُحتجّ به على المنع من التصرّف في جسد من لم يُتيقّن موته، ومن جهة أخرى يُحتجّ به على رفع العبث بجسد الميت وتركِه يُدفن ويُكرَم بدل إبقائه موصولًا بأجهزة لا تفيده</w:t>
      </w:r>
      <w:r>
        <w:rPr>
          <w:rStyle w:val="FootnoteReference"/>
        </w:rPr>
        <w:footnoteReference w:id="11"/>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تعريف الأجهزة الطبيّة وأنواعها ووظائفها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تعريف الأجهزة الطبيّة.</w:t>
      </w:r>
    </w:p>
    <w:p>
      <w:pPr>
        <w:bidi/>
        <w:spacing w:after="160" w:line="360"/>
        <w:jc w:val="both"/>
      </w:pPr>
      <w:r>
        <w:rPr>
          <w:rFonts w:ascii="Simplified Arabic" w:cs="Simplified Arabic" w:eastAsia="Simplified Arabic" w:hAnsi="Simplified Arabic"/>
          <w:b w:val="false"/>
          <w:bCs w:val="false"/>
          <w:sz w:val="28"/>
          <w:szCs w:val="28"/>
          <w:rtl/>
        </w:rPr>
        <w:t xml:space="preserve">الأجهزة الطبيّة عمومًا هي كلّ آلة أو أداة تُستخدم في تشخيص الأمراض أو علاجها أو تخفيفها أو دعم وظائف الجسم، والمقصود منها في هذا البحث خصوصًا أجهزة الإنعاش الصناعيّ، وهي الأجهزة التي تتولّى القيام بوظيفة حيويّة عجز عنها عضو من أعضاء المريض، كالتنفّس أو ضخّ الدم، قيامًا آليًّا مؤقتًا</w:t>
      </w:r>
      <w:r>
        <w:rPr>
          <w:rStyle w:val="FootnoteReference"/>
        </w:rPr>
        <w:footnoteReference w:id="12"/>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أنواع أجهزة الإنعاش ودعم الحياة.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التنفّس الاصطناعيّ (المنفسة): </w:t>
      </w:r>
      <w:r>
        <w:rPr>
          <w:rFonts w:ascii="Simplified Arabic" w:cs="Simplified Arabic" w:eastAsia="Simplified Arabic" w:hAnsi="Simplified Arabic"/>
          <w:b w:val="false"/>
          <w:bCs w:val="false"/>
          <w:sz w:val="28"/>
          <w:szCs w:val="28"/>
          <w:rtl/>
        </w:rPr>
        <w:t xml:space="preserve">وهو أهمّ الأجهزة في مسألتنا، يقوم بدفع الهواء المؤكسج إلى رئتَي المريض وإخراجه منهما آليًّا وفق معدّل مضبوط، فيغني عن حركة التنفّس التلقائيّة التي يتحكم بها جذع الدماغ.</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دعم القلب والدورة الدمويّة: </w:t>
      </w:r>
      <w:r>
        <w:rPr>
          <w:rFonts w:ascii="Simplified Arabic" w:cs="Simplified Arabic" w:eastAsia="Simplified Arabic" w:hAnsi="Simplified Arabic"/>
          <w:b w:val="false"/>
          <w:bCs w:val="false"/>
          <w:sz w:val="28"/>
          <w:szCs w:val="28"/>
          <w:rtl/>
        </w:rPr>
        <w:t xml:space="preserve">كأجهزة الصدمات الكهربائيّة، ومنظّمات ضربات القلب، والعقاقير الرافعة للضغط والقابضة للأوعية التي تُعطى عبر المضخّات لإبقاء الدورة الدمويّة عاملة.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الأكسجة الغشائيّة خارج الجسم (الإكمو): </w:t>
      </w:r>
      <w:r>
        <w:rPr>
          <w:rFonts w:ascii="Simplified Arabic" w:cs="Simplified Arabic" w:eastAsia="Simplified Arabic" w:hAnsi="Simplified Arabic"/>
          <w:b w:val="false"/>
          <w:bCs w:val="false"/>
          <w:sz w:val="28"/>
          <w:szCs w:val="28"/>
          <w:rtl/>
        </w:rPr>
        <w:t xml:space="preserve">يتولى ضخّ الدم وأكسجته خارج الجسم عند فشل القلب والرئتين معًا.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التغذية والإماهة الاصطناعيّة: </w:t>
      </w:r>
      <w:r>
        <w:rPr>
          <w:rFonts w:ascii="Simplified Arabic" w:cs="Simplified Arabic" w:eastAsia="Simplified Arabic" w:hAnsi="Simplified Arabic"/>
          <w:b w:val="false"/>
          <w:bCs w:val="false"/>
          <w:sz w:val="28"/>
          <w:szCs w:val="28"/>
          <w:rtl/>
        </w:rPr>
        <w:t xml:space="preserve">كالأنابيب الأنفيّة المعِديّة والمحاليل الوريديّة التي تمدّ الجسم بالغذاء والسوائل.</w:t>
      </w:r>
      <w:r>
        <w:rPr>
          <w:rStyle w:val="FootnoteReference"/>
        </w:rPr>
        <w:footnoteReference w:id="13"/>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وظيفة هذه الأجهزة وحدودها.</w:t>
      </w:r>
    </w:p>
    <w:p>
      <w:pPr>
        <w:bidi/>
        <w:spacing w:after="160" w:line="360"/>
        <w:jc w:val="both"/>
      </w:pPr>
      <w:r>
        <w:rPr>
          <w:rFonts w:ascii="Simplified Arabic" w:cs="Simplified Arabic" w:eastAsia="Simplified Arabic" w:hAnsi="Simplified Arabic"/>
          <w:b w:val="false"/>
          <w:bCs w:val="false"/>
          <w:sz w:val="28"/>
          <w:szCs w:val="28"/>
          <w:rtl/>
        </w:rPr>
        <w:t xml:space="preserve">الأصل في هذه الأجهزة أنها وسائل دعم مؤقتة، لا وسائل علاج شافٍ؛ فهي تعوّض وظيفة العضو المتعطّل ريثما يستعيد عافيته أو يُعالج سببُ تعطّله، فإذا كان العطب مما لا يُرجى برؤه، كموت الدماغ الكامل، صارت الأجهزة مجرّد محرّك آليّ لأعضاء فقدت قيادتها المركزيّة، تُبقي مظاهر حياة ظاهريّة دون حياة حقيقيّة</w:t>
      </w:r>
      <w:r>
        <w:rPr>
          <w:rStyle w:val="FootnoteReference"/>
        </w:rPr>
        <w:footnoteReference w:id="14"/>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الذي ظهر لي من هذا الفصل أنّ أصل الإشكال ليس في الأجهزة ذاتها، فهي نعمة عظيمة أنقذ الله بها أرواحًا لا تُحصى، وإنما في الحالة الوحيدة التي تنقلب فيها الأجهزة من وسيلة إنقاذ إلى ستارٍ يحجب حقيقة الموت؛ ولهذا كان لا بدّ قبل الخوض في الحكم الفقهيّ من ضبط المفهوم الطبيّ ضبطًا دقيقًا، وهو موضوع الفصل الآتي.</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الثاني: التأصيل الطبيّ لمفهوم الموت السريريّ</w:t>
      </w:r>
    </w:p>
    <w:p>
      <w:pPr>
        <w:bidi/>
        <w:spacing w:after="200" w:line="360"/>
        <w:jc w:val="center"/>
      </w:pPr>
      <w:r>
        <w:rPr>
          <w:rFonts w:ascii="Simplified Arabic" w:cs="Simplified Arabic" w:eastAsia="Simplified Arabic" w:hAnsi="Simplified Arabic"/>
          <w:b/>
          <w:bCs/>
          <w:sz w:val="28"/>
          <w:szCs w:val="28"/>
          <w:rtl/>
        </w:rPr>
        <w:t xml:space="preserve">وفيه ثلاثة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مفهوم الموت السريريّ والموت الدماغيّ طبيًّا.</w:t>
      </w:r>
    </w:p>
    <w:p>
      <w:pPr>
        <w:bidi/>
        <w:spacing w:after="200" w:line="360"/>
        <w:jc w:val="center"/>
      </w:pPr>
      <w:r>
        <w:rPr>
          <w:rFonts w:ascii="Simplified Arabic" w:cs="Simplified Arabic" w:eastAsia="Simplified Arabic" w:hAnsi="Simplified Arabic"/>
          <w:b/>
          <w:bCs/>
          <w:sz w:val="28"/>
          <w:szCs w:val="28"/>
          <w:rtl/>
        </w:rPr>
        <w:t xml:space="preserve">المبحث الثاني: معايير تشخيص الموت الدماغيّ.</w:t>
      </w:r>
    </w:p>
    <w:p>
      <w:pPr>
        <w:bidi/>
        <w:spacing w:after="200" w:line="360"/>
        <w:jc w:val="center"/>
      </w:pPr>
      <w:r>
        <w:rPr>
          <w:rFonts w:ascii="Simplified Arabic" w:cs="Simplified Arabic" w:eastAsia="Simplified Arabic" w:hAnsi="Simplified Arabic"/>
          <w:b/>
          <w:bCs/>
          <w:sz w:val="28"/>
          <w:szCs w:val="28"/>
          <w:rtl/>
        </w:rPr>
        <w:t xml:space="preserve">المبحث الثالث: دور الأجهزة الطبيّة في استمرار الوظائف الحيويّة.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مفهوم الموت السريريّ والموت الدماغيّ طبيًّا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السريريّ في الاصطلاح الطبيّ الدقيق.</w:t>
      </w:r>
    </w:p>
    <w:p>
      <w:pPr>
        <w:bidi/>
        <w:spacing w:after="160" w:line="360"/>
        <w:jc w:val="both"/>
      </w:pPr>
      <w:r>
        <w:rPr>
          <w:rFonts w:ascii="Simplified Arabic" w:cs="Simplified Arabic" w:eastAsia="Simplified Arabic" w:hAnsi="Simplified Arabic"/>
          <w:b w:val="false"/>
          <w:bCs w:val="false"/>
          <w:sz w:val="28"/>
          <w:szCs w:val="28"/>
          <w:rtl/>
        </w:rPr>
        <w:t xml:space="preserve">الموت السريريّ (الإكلينيكيّ) في الاصطلاح الطبيّ الدقيق هو توقف القلب والتنفّس والدورة الدمويّة توقفًا ظاهريًّا، مع بقاء خلايا الدماغ حيّة مدّة قصيرة لا تتجاوز دقائق معدودة، يمكن خلالها إعادة المريض إلى الحياة بوسائل الإنعاش القلبيّ الرئويّ، فهو إذن حالة قابلة للعكس إذا أُدركت في وقتها</w:t>
      </w:r>
      <w:r>
        <w:rPr>
          <w:rStyle w:val="FootnoteReference"/>
        </w:rPr>
        <w:footnoteReference w:id="15"/>
      </w:r>
      <w:r>
        <w:rPr>
          <w:rFonts w:ascii="Simplified Arabic" w:cs="Simplified Arabic" w:eastAsia="Simplified Arabic" w:hAnsi="Simplified Arabic"/>
          <w:b w:val="false"/>
          <w:bCs w:val="false"/>
          <w:sz w:val="28"/>
          <w:szCs w:val="28"/>
          <w:rtl/>
        </w:rPr>
        <w:t xml:space="preserve">. فمن أُنعش في هذه الدقائق عاد إلى حياته، ومن لم يُنعش انتقل إلى الموت الحقيقيّ بتموّت خلايا دماغه من انقطاع الأكسجين.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الموت الدماغيّ هو التوقف الكامل الذي لا رجعة فيه لجميع وظائف الدماغ، بما في ذلك جذع الدماغ الذي يتحكم في التنفّس والوعي والمنعكسات الحيويّة، مع إمكان بقاء القلب نابضًا مدّةً بفعل أجهزة الإنعاش؛ لأنّ للقلب منظّمًا كهربائيًّا ذاتيًّا لا يفتقر في أصل نبضه إلى أمر الدماغ، وإنما يفتقر إلى الأكسجين الذي توفّره المنفسة</w:t>
      </w:r>
      <w:r>
        <w:rPr>
          <w:rStyle w:val="FootnoteReference"/>
        </w:rPr>
        <w:footnoteReference w:id="16"/>
      </w:r>
      <w:r>
        <w:rPr>
          <w:rFonts w:ascii="Simplified Arabic" w:cs="Simplified Arabic" w:eastAsia="Simplified Arabic" w:hAnsi="Simplified Arabic"/>
          <w:b w:val="false"/>
          <w:bCs w:val="false"/>
          <w:sz w:val="28"/>
          <w:szCs w:val="28"/>
          <w:rtl/>
        </w:rPr>
        <w:t xml:space="preserve">. وهذه الحالة لا رجعة فيها بإجماع أهل الاختصاص متى ثبت التشخيص على الوجه الصحيح</w:t>
      </w:r>
      <w:r>
        <w:rPr>
          <w:rStyle w:val="FootnoteReference"/>
        </w:rPr>
        <w:footnoteReference w:id="17"/>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تحرير الاصطلاح المعتمد في هذا البحث.</w:t>
      </w:r>
    </w:p>
    <w:p>
      <w:pPr>
        <w:bidi/>
        <w:spacing w:after="160" w:line="360"/>
        <w:jc w:val="both"/>
      </w:pPr>
      <w:r>
        <w:rPr>
          <w:rFonts w:ascii="Simplified Arabic" w:cs="Simplified Arabic" w:eastAsia="Simplified Arabic" w:hAnsi="Simplified Arabic"/>
          <w:b w:val="false"/>
          <w:bCs w:val="false"/>
          <w:sz w:val="28"/>
          <w:szCs w:val="28"/>
          <w:rtl/>
        </w:rPr>
        <w:t xml:space="preserve">جرى استعمال الفقهاء والباحثين المعاصرين، ومنهم من كتب في هذه النازلة بالعربيّة، على إطلاق "الميت سريريًّا" على من تعطّل دماغه تعطّلًا نهائيًّا وقلبُه نابض بالأجهزة، وهو بالاصطلاح الطبيّ الدقيق "ميت دماغيًّا"</w:t>
      </w:r>
      <w:r>
        <w:rPr>
          <w:rStyle w:val="FootnoteReference"/>
        </w:rPr>
        <w:footnoteReference w:id="18"/>
      </w:r>
      <w:r>
        <w:rPr>
          <w:rFonts w:ascii="Simplified Arabic" w:cs="Simplified Arabic" w:eastAsia="Simplified Arabic" w:hAnsi="Simplified Arabic"/>
          <w:b w:val="false"/>
          <w:bCs w:val="false"/>
          <w:sz w:val="28"/>
          <w:szCs w:val="28"/>
          <w:rtl/>
        </w:rPr>
        <w:t xml:space="preserve">. ويجب التنبّه إلى الفرق بين هذه الحالة وبين ما يسمّى بالحالة النباتيّة (الغيبوبة المستديمة)، فإنّ صاحب الحالة النباتيّة حيّ بلا خلاف: جذع دماغه سليم، يتنفّس غالبًا من تلقاء نفسه، وقد يستيقظ بعد سنين، فلا يجوز الخلط بين الحالتين بحال</w:t>
      </w:r>
      <w:r>
        <w:rPr>
          <w:rStyle w:val="FootnoteReference"/>
        </w:rPr>
        <w:footnoteReference w:id="19"/>
      </w:r>
      <w:r>
        <w:rPr>
          <w:rFonts w:ascii="Simplified Arabic" w:cs="Simplified Arabic" w:eastAsia="Simplified Arabic" w:hAnsi="Simplified Arabic"/>
          <w:b w:val="false"/>
          <w:bCs w:val="false"/>
          <w:sz w:val="28"/>
          <w:szCs w:val="28"/>
          <w:rtl/>
        </w:rPr>
        <w:t xml:space="preserve">. وعليه فالمقصود بالميت سريريًّا في هذا البحث: من ثبت طبيًّا التوقف النهائيّ الذي لا رجعة فيه لجميع وظائف دماغه بما فيها جذع الدماغ، مع بقاء قلبه وتنفّسه عاملَين آليًّا بفعل الأجهزة.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معايير تشخيص الموت الدماغيّ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نشأة المعايير وتطوّرها.</w:t>
      </w:r>
    </w:p>
    <w:p>
      <w:pPr>
        <w:bidi/>
        <w:spacing w:after="160" w:line="360"/>
        <w:jc w:val="both"/>
      </w:pPr>
      <w:r>
        <w:rPr>
          <w:rFonts w:ascii="Simplified Arabic" w:cs="Simplified Arabic" w:eastAsia="Simplified Arabic" w:hAnsi="Simplified Arabic"/>
          <w:b w:val="false"/>
          <w:bCs w:val="false"/>
          <w:sz w:val="28"/>
          <w:szCs w:val="28"/>
          <w:rtl/>
        </w:rPr>
        <w:t xml:space="preserve">أوّل صياغة منهجيّة لمعايير الموت الدماغيّ كانت سنة 1968م حين وضعت لجنة كليّة الطبّ بجامعة هارفارد معاييرها الشهيرة لما سمّته "الغيبوبة غير العكوسة"، ثم تتابعت الهيئات الطبيّة والقانونيّة على تطوير هذه المعايير، حتى استقرّ الأمر في الولايات المتحدة على قانون التحديد الموحّد للوفاة سنة 1981م الذي اعتمد التوقف النهائيّ لجميع وظائف الدماغ معيارًا قانونيًّا للوفاة إلى جانب المعيار القلبيّ الرئويّ</w:t>
      </w:r>
      <w:r>
        <w:rPr>
          <w:rStyle w:val="FootnoteReference"/>
        </w:rPr>
        <w:footnoteReference w:id="20"/>
      </w:r>
      <w:r>
        <w:rPr>
          <w:rFonts w:ascii="Simplified Arabic" w:cs="Simplified Arabic" w:eastAsia="Simplified Arabic" w:hAnsi="Simplified Arabic"/>
          <w:b w:val="false"/>
          <w:bCs w:val="false"/>
          <w:sz w:val="28"/>
          <w:szCs w:val="28"/>
          <w:rtl/>
        </w:rPr>
        <w:t xml:space="preserve">. وتبنّت الأكاديميّة الأمريكيّة لطبّ الأعصاب إرشادات تفصيليّة للتشخيص جرى تحديثها مرارًا</w:t>
      </w:r>
      <w:r>
        <w:rPr>
          <w:rStyle w:val="FootnoteReference"/>
        </w:rPr>
        <w:footnoteReference w:id="21"/>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الفحص السريريّ واختبار انقطاع النفَس.</w:t>
      </w:r>
    </w:p>
    <w:p>
      <w:pPr>
        <w:bidi/>
        <w:spacing w:after="160" w:line="360"/>
        <w:jc w:val="both"/>
      </w:pPr>
      <w:r>
        <w:rPr>
          <w:rFonts w:ascii="Simplified Arabic" w:cs="Simplified Arabic" w:eastAsia="Simplified Arabic" w:hAnsi="Simplified Arabic"/>
          <w:b w:val="false"/>
          <w:bCs w:val="false"/>
          <w:sz w:val="28"/>
          <w:szCs w:val="28"/>
          <w:rtl/>
        </w:rPr>
        <w:t xml:space="preserve">يقوم التشخيص السريريّ للموت الدماغيّ على ثلاثة أركان: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غيبوبة عميقة معروفة السبب، مع استبعاد كلّ ما يشوّش على الفحص من مخدّرات ومهدّئات وهبوط حرارة الجسم واضطرابات الأملاح والاستقلاب.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غياب جميع منعكسات جذع الدماغ: منعكس الحدقة للضوء، ومنعكس القرنيّة، والمنعكس الدهليزيّ العينيّ، ومنعكس البلع والسعال.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اختبار انقطاع النفَس: بفصل المريض عن المنفسة مدّة مضبوطة مع مراقبة غازات الدم، فإن لم تصدر منه أيّ محاولة تنفّس تلقائيّ رغم ارتفاع ثاني أكسيد الكربون إلى العتبة المحرّضة، ثبت تعطّل مركز التنفّس في جذع الدماغ</w:t>
      </w:r>
      <w:r>
        <w:rPr>
          <w:rStyle w:val="FootnoteReference"/>
        </w:rPr>
        <w:footnoteReference w:id="22"/>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الفحوص المساندة وضمانات التثبّت.</w:t>
      </w:r>
    </w:p>
    <w:p>
      <w:pPr>
        <w:bidi/>
        <w:spacing w:after="160" w:line="360"/>
        <w:jc w:val="both"/>
      </w:pPr>
      <w:r>
        <w:rPr>
          <w:rFonts w:ascii="Simplified Arabic" w:cs="Simplified Arabic" w:eastAsia="Simplified Arabic" w:hAnsi="Simplified Arabic"/>
          <w:b w:val="false"/>
          <w:bCs w:val="false"/>
          <w:sz w:val="28"/>
          <w:szCs w:val="28"/>
          <w:rtl/>
        </w:rPr>
        <w:t xml:space="preserve">تُستعمل الفحوص المساندة عند تعذّر إكمال الفحص السريريّ أو للتثبّت الإضافيّ، ومنها: تخطيط كهربائيّة الدماغ، وتصوير الأوعية الدماغيّة بالقسطرة أو بالتصوير المقطعيّ، والدوبلر عبر الجمجمة، والتصوير النوويّ لجريان الدم الدماغيّ، فإذا أظهرت انقطاع الجريان الدمويّ عن الدماغ كان ذلك دليلًا قاطعًا على موته</w:t>
      </w:r>
      <w:r>
        <w:rPr>
          <w:rStyle w:val="FootnoteReference"/>
        </w:rPr>
        <w:footnoteReference w:id="23"/>
      </w:r>
      <w:r>
        <w:rPr>
          <w:rFonts w:ascii="Simplified Arabic" w:cs="Simplified Arabic" w:eastAsia="Simplified Arabic" w:hAnsi="Simplified Arabic"/>
          <w:b w:val="false"/>
          <w:bCs w:val="false"/>
          <w:sz w:val="28"/>
          <w:szCs w:val="28"/>
          <w:rtl/>
        </w:rPr>
        <w:t xml:space="preserve">. ومن ضمانات التثبّت المعتمدة: تكرار الفحص بفاصل زمنيّ، وقيام طبيبَين مستقلَّين مؤهّلَين به، وتوثيق كلّ خطوة. ومع ذلك سجّلت الأدبيّات الطبيّة حالات نادرة من أخطاء التشخيص كان سببها دائمًا الإخلال بالبروتوكول لا قصور المعايير ذاتها، وهو ما يجعل الالتزام الصارم بالبروتوكول شرطًا لا يقبل التهاون</w:t>
      </w:r>
      <w:r>
        <w:rPr>
          <w:rStyle w:val="FootnoteReference"/>
        </w:rPr>
        <w:footnoteReference w:id="24"/>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دور الأجهزة الطبيّة في استمرار الوظائف الحيويّة</w:t>
      </w:r>
    </w:p>
    <w:p>
      <w:pPr>
        <w:bidi/>
        <w:spacing w:after="160" w:line="360"/>
        <w:jc w:val="both"/>
      </w:pPr>
      <w:r>
        <w:rPr>
          <w:rFonts w:ascii="Simplified Arabic" w:cs="Simplified Arabic" w:eastAsia="Simplified Arabic" w:hAnsi="Simplified Arabic"/>
          <w:b w:val="false"/>
          <w:bCs w:val="false"/>
          <w:sz w:val="28"/>
          <w:szCs w:val="28"/>
          <w:rtl/>
        </w:rPr>
        <w:t xml:space="preserve">إذا مات الدماغ بجميع وظائفه فقد الجسم قيادته المركزيّة، فيتوقف التنفّس التلقائيّ فورًا لتعطّل مركزه في جذع الدماغ، ولولا المنفسة لتوقف القلب خلال دقائق لانقطاع الأكسجين عنه. فإذا وُصلت المنفسة استمرّ وصول الأكسجين إلى القلب، واستمرّ القلب نابضًا بمنظّمه الذاتيّ، واستمرّت الدورة الدمويّة تغذّي سائر الأعضاء، فيظهر الجسد دافئًا متورّدًا يعلو صدره ويهبط، وهي مظاهر حياة آليّة مصدرها الجهاز لا الإنسان</w:t>
      </w:r>
      <w:r>
        <w:rPr>
          <w:rStyle w:val="FootnoteReference"/>
        </w:rPr>
        <w:footnoteReference w:id="25"/>
      </w:r>
      <w:r>
        <w:rPr>
          <w:rFonts w:ascii="Simplified Arabic" w:cs="Simplified Arabic" w:eastAsia="Simplified Arabic" w:hAnsi="Simplified Arabic"/>
          <w:b w:val="false"/>
          <w:bCs w:val="false"/>
          <w:sz w:val="28"/>
          <w:szCs w:val="28"/>
          <w:rtl/>
        </w:rPr>
        <w:t xml:space="preserve">. ومع ذلك فإنّ هذا الوضع لا يدوم غالبًا إلا أيامًا أو أسابيع ثم يتوقف القلب رغم كلّ الدعم، لتفكّك الأجهزة العضويّة بفقد التنظيم العصبيّ والهرمونيّ المركزيّ</w:t>
      </w:r>
      <w:r>
        <w:rPr>
          <w:rStyle w:val="FootnoteReference"/>
        </w:rPr>
        <w:footnoteReference w:id="26"/>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وقفتُ في أثناء القراءة الطبيّة لهذا الفصل على حقيقة غيّرت نظرتي للمسألة: القلب النابض في جسد الميت دماغيًّا ليس دليل حياة بأكثر مما يكون نبض قلبٍ منزوعٍ من صدر صاحبه موضوعٍ في محلول مغذٍّ دليلَ حياة؛ فالنبض خاصيّة عضليّة كهربائيّة ذاتيّة، أما الحياة الإنسانيّة فقوامها ذلك الجهاز المركزيّ الذي به يحسّ الإنسان ويعي ويتنفّس. وبهذا يتّضح أنّ الخلاف الفقهيّ الآتي ليس خلافًا في الطبّ، وإنما في التكييف الشرعيّ لهذه الحقيقة الطبيّة.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الثالث: الأحكام الفقهيّة لنزع الأجهزة الطبيّة عن الميت سريريًّا</w:t>
      </w:r>
    </w:p>
    <w:p>
      <w:pPr>
        <w:bidi/>
        <w:spacing w:after="200" w:line="360"/>
        <w:jc w:val="center"/>
      </w:pPr>
      <w:r>
        <w:rPr>
          <w:rFonts w:ascii="Simplified Arabic" w:cs="Simplified Arabic" w:eastAsia="Simplified Arabic" w:hAnsi="Simplified Arabic"/>
          <w:b/>
          <w:bCs/>
          <w:sz w:val="28"/>
          <w:szCs w:val="28"/>
          <w:rtl/>
        </w:rPr>
        <w:t xml:space="preserve">وفيه ثلاثة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أقوال الفقهاء في اعتبار الموت الدماغيّ.</w:t>
      </w:r>
    </w:p>
    <w:p>
      <w:pPr>
        <w:bidi/>
        <w:spacing w:after="200" w:line="360"/>
        <w:jc w:val="center"/>
      </w:pPr>
      <w:r>
        <w:rPr>
          <w:rFonts w:ascii="Simplified Arabic" w:cs="Simplified Arabic" w:eastAsia="Simplified Arabic" w:hAnsi="Simplified Arabic"/>
          <w:b/>
          <w:bCs/>
          <w:sz w:val="28"/>
          <w:szCs w:val="28"/>
          <w:rtl/>
        </w:rPr>
        <w:t xml:space="preserve">المبحث الثاني: حكم نزع الأجهزة الطبيّة في ضوء الآراء الفقهيّة.</w:t>
      </w:r>
    </w:p>
    <w:p>
      <w:pPr>
        <w:bidi/>
        <w:spacing w:after="200" w:line="360"/>
        <w:jc w:val="center"/>
      </w:pPr>
      <w:r>
        <w:rPr>
          <w:rFonts w:ascii="Simplified Arabic" w:cs="Simplified Arabic" w:eastAsia="Simplified Arabic" w:hAnsi="Simplified Arabic"/>
          <w:b/>
          <w:bCs/>
          <w:sz w:val="28"/>
          <w:szCs w:val="28"/>
          <w:rtl/>
        </w:rPr>
        <w:t xml:space="preserve">المبحث الثالث: الضوابط والشروط الشرعيّة لنزع الأجهزة الطبيّة.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أقوال الفقهاء في اعتبار الموت الدماغيّ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تحرير محلّ الاتفاق ومحلّ النزاع.</w:t>
      </w:r>
    </w:p>
    <w:p>
      <w:pPr>
        <w:bidi/>
        <w:spacing w:after="160" w:line="360"/>
        <w:jc w:val="both"/>
      </w:pPr>
      <w:r>
        <w:rPr>
          <w:rFonts w:ascii="Simplified Arabic" w:cs="Simplified Arabic" w:eastAsia="Simplified Arabic" w:hAnsi="Simplified Arabic"/>
          <w:b w:val="false"/>
          <w:bCs w:val="false"/>
          <w:sz w:val="28"/>
          <w:szCs w:val="28"/>
          <w:rtl/>
        </w:rPr>
        <w:t xml:space="preserve">قبل عرض الأقوال لا بدّ من تحرير محلّ النزاع، وقد اتفق الفقهاء المعاصرون على جملة أمور: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لا خلاف في أنّ من توقف قلبه وتنفّسه توقفًا تامًّا لا رجعة فيه فهو ميت شرعًا بالإجماع.</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لا خلاف في أنّ من كان دماغه حيًّا أو بعض وظائفه قائمة، كصاحب الحالة النباتيّة، فهو حيّ معصوم الدم، لا يجوز نزع الأجهزة عنه إذا كانت حياته متوقفة عليها وهو مما تُرجى حياته.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لا خلاف في حرمة "قتل الرحمة" بفعل إيجابيّ مزهق للروح، كحقن المريض بمادّة قاتلة، ولو بطلبه، فهو قتل عمد محرّم بالإجماع</w:t>
      </w:r>
      <w:r>
        <w:rPr>
          <w:rStyle w:val="FootnoteReference"/>
        </w:rPr>
        <w:footnoteReference w:id="27"/>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وإنما وقع النزاع في مسألتين: الأولى: هل يُعدّ الموت الدماغيّ الموثّق موتًا شرعيًّا تترتب عليه أحكام الوفاة؟ والثانية: ما حكم نزع الأجهزة عمّن هذه حاله؟ وبينهما تلازم غير مطّرد كما سيأتي.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القول الأوّل: الموت الدماغيّ موت شرعيّ.</w:t>
      </w:r>
    </w:p>
    <w:p>
      <w:pPr>
        <w:bidi/>
        <w:spacing w:after="160" w:line="360"/>
        <w:jc w:val="both"/>
      </w:pPr>
      <w:r>
        <w:rPr>
          <w:rFonts w:ascii="Simplified Arabic" w:cs="Simplified Arabic" w:eastAsia="Simplified Arabic" w:hAnsi="Simplified Arabic"/>
          <w:b w:val="false"/>
          <w:bCs w:val="false"/>
          <w:sz w:val="28"/>
          <w:szCs w:val="28"/>
          <w:rtl/>
        </w:rPr>
        <w:t xml:space="preserve">ذهب جمهور المجامع الفقهيّة وكثير من الفقهاء المعاصرين إلى أنّ من تعطّلت جميع وظائف دماغه تعطّلًا نهائيًّا لا رجعة فيه، بشهادة الأطباء الاختصاصيّين الخبراء، فقد مات موتًا شرعيًّا وإن بقي قلبه نابضًا بالأجهزة، وبهذا صدر قرار مجمع الفقه الإسلاميّ الدوليّ في دورته الثالثة بعمّان سنة 1986م</w:t>
      </w:r>
      <w:r>
        <w:rPr>
          <w:rStyle w:val="FootnoteReference"/>
        </w:rPr>
        <w:footnoteReference w:id="28"/>
      </w:r>
      <w:r>
        <w:rPr>
          <w:rFonts w:ascii="Simplified Arabic" w:cs="Simplified Arabic" w:eastAsia="Simplified Arabic" w:hAnsi="Simplified Arabic"/>
          <w:b w:val="false"/>
          <w:bCs w:val="false"/>
          <w:sz w:val="28"/>
          <w:szCs w:val="28"/>
          <w:rtl/>
        </w:rPr>
        <w:t xml:space="preserve">، وإليه ذهب جمع من الباحثين المعاصرين</w:t>
      </w:r>
      <w:r>
        <w:rPr>
          <w:rStyle w:val="FootnoteReference"/>
        </w:rPr>
        <w:footnoteReference w:id="29"/>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واستدلّوا بأدلّة، أهمّها: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الشرع لم يحدّد للموت علامات تعبّديّة توقيفيّة، بل ردّ معرفته إلى أهل الخبرة في كلّ عصر، وأهل الخبرة اليوم مجمعون على أنّ موت الدماغ الكامل حالة لا رجعة فيها البتّة.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مناط الحياة الإنسانيّة المعتبرة شرعًا هو الإدراك والحسّ والحركة الإراديّة والتنفّس الذاتيّ، ومحلّها جميعًا الدماغ، فإذا مات الدماغ فقد زال محلّ الروح من التدبير، وبقاء النبض بالآلة كحركة آليّة لا عبرة بها.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القياس على ما قرّره الفقهاء المتقدّمون في "حركة المذبوح"، فإنهم جعلوا من وصل إلى حالة لا يبقى معها إدراك ولا نطق ولا حركة اختياريّة في حكم الميت وإن بقيت فيه حركة اضطراريّة، ورتّبوا على ذلك أحكامًا في الجنايات والمواريث، فكذلك من مات دماغه: حياته المتبقية حياة اضطراريّة آليّة لا حياة مستقرّة</w:t>
      </w:r>
      <w:r>
        <w:rPr>
          <w:rStyle w:val="FootnoteReference"/>
        </w:rPr>
        <w:footnoteReference w:id="30"/>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القول الثاني: لا يُحكم بالموت حتى يتوقف القلب والتنفّس.</w:t>
      </w:r>
    </w:p>
    <w:p>
      <w:pPr>
        <w:bidi/>
        <w:spacing w:after="160" w:line="360"/>
        <w:jc w:val="both"/>
      </w:pPr>
      <w:r>
        <w:rPr>
          <w:rFonts w:ascii="Simplified Arabic" w:cs="Simplified Arabic" w:eastAsia="Simplified Arabic" w:hAnsi="Simplified Arabic"/>
          <w:b w:val="false"/>
          <w:bCs w:val="false"/>
          <w:sz w:val="28"/>
          <w:szCs w:val="28"/>
          <w:rtl/>
        </w:rPr>
        <w:t xml:space="preserve">ذهب فريق آخر من الفقهاء، وعليه قرار المجمع الفقهيّ الإسلاميّ برابطة العالم الإسلاميّ في دورته العاشرة بمكة سنة 1987م في شقّه المتعلق بأحكام الوفاة، وهو اختيار جمع من علماء المملكة وغيرهم، ومنهم الشيخ ابن عثيمين</w:t>
      </w:r>
      <w:r>
        <w:rPr>
          <w:rStyle w:val="FootnoteReference"/>
        </w:rPr>
        <w:footnoteReference w:id="31"/>
      </w:r>
      <w:r>
        <w:rPr>
          <w:rFonts w:ascii="Simplified Arabic" w:cs="Simplified Arabic" w:eastAsia="Simplified Arabic" w:hAnsi="Simplified Arabic"/>
          <w:b w:val="false"/>
          <w:bCs w:val="false"/>
          <w:sz w:val="28"/>
          <w:szCs w:val="28"/>
          <w:rtl/>
        </w:rPr>
        <w:t xml:space="preserve"> رحمه الله، إلى أنّ الميت دماغيًّا لا يُحكم بموته شرعًا ولا تجري عليه أحكام الأموات حتى يتوقف قلبه وتنفّسه توقفًا تامًّا</w:t>
      </w:r>
      <w:r>
        <w:rPr>
          <w:rStyle w:val="FootnoteReference"/>
        </w:rPr>
        <w:footnoteReference w:id="32"/>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واستدلّوا بأدلّة، أهمّها: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الحياة ثابتة بيقين، واليقين لا يزول بالشكّ، ونبض القلب ودوران الدم ودفء الجسد مظاهر حياة حقيقيّة قائمة، فلا يُحكم بزوالها بمعيار مستحدث مختلف فيه.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الروح أمر غيبيّ لا سبيل إلى القطع بمفارقتها ما دامت في الجسد آثار حياة، والدماغ عضو من الأعضاء، وموته موت عضو لا موت إنسان.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سُجّل من حالات أخطاء في التشخيص، وحالات استمرّ فيها الجسد المدعوم بالأجهزة أسابيع بل شهورًا، ومنها حالات حوامل ميتات دماغيًّا اكتمل حمل أجنّتهنّ، فدلّ على أنّ في الجسد تدبيرًا حيويًّا باقيًا</w:t>
      </w:r>
      <w:r>
        <w:rPr>
          <w:rStyle w:val="FootnoteReference"/>
        </w:rPr>
        <w:footnoteReference w:id="33"/>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المناقشة.</w:t>
      </w:r>
    </w:p>
    <w:p>
      <w:pPr>
        <w:bidi/>
        <w:spacing w:after="160" w:line="360"/>
        <w:jc w:val="both"/>
      </w:pPr>
      <w:r>
        <w:rPr>
          <w:rFonts w:ascii="Simplified Arabic" w:cs="Simplified Arabic" w:eastAsia="Simplified Arabic" w:hAnsi="Simplified Arabic"/>
          <w:b w:val="false"/>
          <w:bCs w:val="false"/>
          <w:sz w:val="28"/>
          <w:szCs w:val="28"/>
          <w:rtl/>
        </w:rPr>
        <w:t xml:space="preserve">يناقَش استدلال الفريق الثاني بأنّ قاعدة اليقين لا يزول بالشكّ إنما تُعمل عند الشكّ، والتشخيص الموثّق للموت الدماغيّ وفق البروتوكول الكامل ليس شكًّا بل يقين طبيّ متواتر عن أهل الاختصاص؛ وأمّا حالات الخطأ المسجّلة فكلّها حالات أُخلّ فيها بالبروتوكول، والنادر لا حكم له، وسبيله إحكام الضوابط لا إلغاء المعيار</w:t>
      </w:r>
      <w:r>
        <w:rPr>
          <w:rStyle w:val="FootnoteReference"/>
        </w:rPr>
        <w:footnoteReference w:id="34"/>
      </w:r>
      <w:r>
        <w:rPr>
          <w:rFonts w:ascii="Simplified Arabic" w:cs="Simplified Arabic" w:eastAsia="Simplified Arabic" w:hAnsi="Simplified Arabic"/>
          <w:b w:val="false"/>
          <w:bCs w:val="false"/>
          <w:sz w:val="28"/>
          <w:szCs w:val="28"/>
          <w:rtl/>
        </w:rPr>
        <w:t xml:space="preserve">. وأمّا بقاء بعض الوظائف الموضعيّة كالحمل فمردّه إلى أنّ بعض الأعضاء تعمل عملًا ذاتيًّا إذا وصلها الدم المؤكسج، وليس دليلًا على حياة الإنسان بما هو إنسان. ويناقَش استدلال الفريق الأوّل بأنّ في تنزيل أحكام الأموات كلّها دفعة واحدة على من قلبه نابض حرجًا ظاهرًا على الأهل، ومزلقًا يُخشى منه التوسّع، فكان لا بدّ من التفصيل الذي سيأتي في الترجيح</w:t>
      </w:r>
      <w:r>
        <w:rPr>
          <w:rStyle w:val="FootnoteReference"/>
        </w:rPr>
        <w:footnoteReference w:id="35"/>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حكم نزع الأجهزة الطبيّة في ضوء الآراء الفقهيّة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الأدلّة العامّة المتعلقة بالمسألة.</w:t>
      </w:r>
    </w:p>
    <w:p>
      <w:pPr>
        <w:bidi/>
        <w:spacing w:after="160" w:line="360"/>
        <w:jc w:val="both"/>
      </w:pPr>
      <w:r>
        <w:rPr>
          <w:rFonts w:ascii="Simplified Arabic" w:cs="Simplified Arabic" w:eastAsia="Simplified Arabic" w:hAnsi="Simplified Arabic"/>
          <w:b w:val="false"/>
          <w:bCs w:val="false"/>
          <w:sz w:val="28"/>
          <w:szCs w:val="28"/>
          <w:rtl/>
        </w:rPr>
        <w:t xml:space="preserve">من الآيات المتعلقة بأدلّة 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(النساء: 29).</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(البقرة: 195).</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(آل عمران: 145).</w:t>
      </w:r>
    </w:p>
    <w:p>
      <w:pPr>
        <w:bidi/>
        <w:spacing w:after="160" w:line="360"/>
        <w:jc w:val="both"/>
      </w:pPr>
      <w:r>
        <w:rPr>
          <w:rFonts w:ascii="Simplified Arabic" w:cs="Simplified Arabic" w:eastAsia="Simplified Arabic" w:hAnsi="Simplified Arabic"/>
          <w:b w:val="false"/>
          <w:bCs w:val="false"/>
          <w:sz w:val="28"/>
          <w:szCs w:val="28"/>
          <w:rtl/>
        </w:rPr>
        <w:t xml:space="preserve">ومن الأحاديث: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"لا ضررَ ولا ضِرار"</w:t>
      </w:r>
      <w:r>
        <w:rPr>
          <w:rStyle w:val="FootnoteReference"/>
        </w:rPr>
        <w:footnoteReference w:id="36"/>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"ما أنزل اللهُ داءً إلا أنزل له شفاءً"</w:t>
      </w:r>
      <w:r>
        <w:rPr>
          <w:rStyle w:val="FootnoteReference"/>
        </w:rPr>
        <w:footnoteReference w:id="37"/>
      </w:r>
      <w:r>
        <w:rPr>
          <w:rFonts w:ascii="Simplified Arabic" w:cs="Simplified Arabic" w:eastAsia="Simplified Arabic" w:hAnsi="Simplified Arabic"/>
          <w:b w:val="false"/>
          <w:bCs w:val="false"/>
          <w:sz w:val="28"/>
          <w:szCs w:val="28"/>
          <w:rtl/>
        </w:rPr>
        <w:t xml:space="preserve">، ومفهومه أنّ ما ثبت طبًّا أنه لا شفاء منه لا يجب التداوي له.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"إذا مات الإنسانُ انقطعَ عملُه إلا من ثلاث"</w:t>
      </w:r>
      <w:r>
        <w:rPr>
          <w:rStyle w:val="FootnoteReference"/>
        </w:rPr>
        <w:footnoteReference w:id="38"/>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ومن القواعد الفقهيّة المتعلقة بالمسألة: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"اليقين لا يزول بالشكّ"</w:t>
      </w:r>
      <w:r>
        <w:rPr>
          <w:rStyle w:val="FootnoteReference"/>
        </w:rPr>
        <w:footnoteReference w:id="39"/>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"لا ضرر ولا ضرار"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"الضرر يُزال"</w:t>
      </w:r>
      <w:r>
        <w:rPr>
          <w:rStyle w:val="FootnoteReference"/>
        </w:rPr>
        <w:footnoteReference w:id="40"/>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"درء المفاسد أولى من جلب المصالح"</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"التصرّف على الرعيّة منوط بالمصلحة"</w:t>
      </w:r>
      <w:r>
        <w:rPr>
          <w:rFonts w:ascii="Simplified Arabic" w:cs="Simplified Arabic" w:eastAsia="Simplified Arabic" w:hAnsi="Simplified Arabic"/>
          <w:b w:val="false"/>
          <w:bCs w:val="false"/>
          <w:sz w:val="28"/>
          <w:szCs w:val="28"/>
          <w:rtl/>
        </w:rPr>
        <w:t xml:space="preserve">، وبها يتعلق تنظيم أولويّات الانتفاع بأجهزة العناية المحدودة.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حكم النزع على القول باعتبار الموت الدماغيّ موتًا.</w:t>
      </w:r>
    </w:p>
    <w:p>
      <w:pPr>
        <w:bidi/>
        <w:spacing w:after="160" w:line="360"/>
        <w:jc w:val="both"/>
      </w:pPr>
      <w:r>
        <w:rPr>
          <w:rFonts w:ascii="Simplified Arabic" w:cs="Simplified Arabic" w:eastAsia="Simplified Arabic" w:hAnsi="Simplified Arabic"/>
          <w:b w:val="false"/>
          <w:bCs w:val="false"/>
          <w:sz w:val="28"/>
          <w:szCs w:val="28"/>
          <w:rtl/>
        </w:rPr>
        <w:t xml:space="preserve">على القول الأوّل تكون النتيجة ظاهرة: إذا ثبت الموت الدماغيّ بالضوابط فالمريض ميت شرعًا، والأجهزة إنما تحرّك جثمانًا، فيجوز رفعها بل قد يتعيّن؛ إذ لا يجوز العبث بجثّة الميت وتعليق دفنه وإكرامه، ولا شغل أجهزة نادرة يحتاجها أحياء تُرجى حياتهم، ولا إرهاق الأهل نفسيًّا وماليًّا بأمل كاذب</w:t>
      </w:r>
      <w:r>
        <w:rPr>
          <w:rStyle w:val="FootnoteReference"/>
        </w:rPr>
        <w:footnoteReference w:id="41"/>
      </w:r>
      <w:r>
        <w:rPr>
          <w:rFonts w:ascii="Simplified Arabic" w:cs="Simplified Arabic" w:eastAsia="Simplified Arabic" w:hAnsi="Simplified Arabic"/>
          <w:b w:val="false"/>
          <w:bCs w:val="false"/>
          <w:sz w:val="28"/>
          <w:szCs w:val="28"/>
          <w:rtl/>
        </w:rPr>
        <w:t xml:space="preserve">. وقد نصّ قرار مجمع الفقه الإسلاميّ على أنه في هذه الحالة "يسوغ رفع أجهزة الإنعاش المركّبة على الشخص وإن كان بعض الأعضاء كالقلب مثلًا لا يزال يعمل آليًّا بفعل الأجهزة المركّبة"</w:t>
      </w:r>
      <w:r>
        <w:rPr>
          <w:rStyle w:val="FootnoteReference"/>
        </w:rPr>
        <w:footnoteReference w:id="42"/>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حكم النزع على القول بعدم اعتبار الموت الدماغيّ موتًا.</w:t>
      </w:r>
    </w:p>
    <w:p>
      <w:pPr>
        <w:bidi/>
        <w:spacing w:after="160" w:line="360"/>
        <w:jc w:val="both"/>
      </w:pPr>
      <w:r>
        <w:rPr>
          <w:rFonts w:ascii="Simplified Arabic" w:cs="Simplified Arabic" w:eastAsia="Simplified Arabic" w:hAnsi="Simplified Arabic"/>
          <w:b w:val="false"/>
          <w:bCs w:val="false"/>
          <w:sz w:val="28"/>
          <w:szCs w:val="28"/>
          <w:rtl/>
        </w:rPr>
        <w:t xml:space="preserve">اللافت أنّ أكثر أصحاب القول الثاني أجازوا رفع الأجهزة أيضًا، مع توقفهم عن الحكم بالموت؛ وذلك بناءً على أنّ التداوي بالوسائل الاستثنائيّة ليس واجبًا فيمن لا يُرجى برؤه بشهادة أهل الاختصاص، فالاستمرار في دعمٍ آليّ لا طائل تحته ليس علاجًا واجبًا ولا مستحبًّا، ورفعُه ترك للفعل لا فعل للقتل، والموت بعده يقع بالسبب الأصليّ وهو المرض لا بفعل الطبيب</w:t>
      </w:r>
      <w:r>
        <w:rPr>
          <w:rStyle w:val="FootnoteReference"/>
        </w:rPr>
        <w:footnoteReference w:id="43"/>
      </w:r>
      <w:r>
        <w:rPr>
          <w:rFonts w:ascii="Simplified Arabic" w:cs="Simplified Arabic" w:eastAsia="Simplified Arabic" w:hAnsi="Simplified Arabic"/>
          <w:b w:val="false"/>
          <w:bCs w:val="false"/>
          <w:sz w:val="28"/>
          <w:szCs w:val="28"/>
          <w:rtl/>
        </w:rPr>
        <w:t xml:space="preserve">. وبهذا يظهر أنّ ثمرة الخلاف بين القولين تنحصر غالبًا في توقيت الأحكام المترتبة على الوفاة، كالإرث والعدّة ونعي الميت، لا في أصل جواز الرفع</w:t>
      </w:r>
      <w:r>
        <w:rPr>
          <w:rStyle w:val="FootnoteReference"/>
        </w:rPr>
        <w:footnoteReference w:id="44"/>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الفرق بين نزع الأجهزة وقتل الرحمة.</w:t>
      </w:r>
    </w:p>
    <w:p>
      <w:pPr>
        <w:bidi/>
        <w:spacing w:after="160" w:line="360"/>
        <w:jc w:val="both"/>
      </w:pPr>
      <w:r>
        <w:rPr>
          <w:rFonts w:ascii="Simplified Arabic" w:cs="Simplified Arabic" w:eastAsia="Simplified Arabic" w:hAnsi="Simplified Arabic"/>
          <w:b w:val="false"/>
          <w:bCs w:val="false"/>
          <w:sz w:val="28"/>
          <w:szCs w:val="28"/>
          <w:rtl/>
        </w:rPr>
        <w:t xml:space="preserve">ينبغي التفريق الحاسم بين ثلاث صور: الأولى: الفعل الإيجابيّ المزهق للروح، كالحقنة القاتلة، وهو قتل عمد محرّم إجماعًا لا يبيحه رضا المريض ولا شفقة الأهل، لقوله تعالى: </w:t>
      </w:r>
      <w:r>
        <w:rPr>
          <w:rFonts w:ascii="Simplified Arabic" w:cs="Simplified Arabic" w:eastAsia="Simplified Arabic" w:hAnsi="Simplified Arabic"/>
          <w:b/>
          <w:bCs/>
          <w:sz w:val="28"/>
          <w:szCs w:val="28"/>
          <w:rtl/>
        </w:rPr>
        <w:t xml:space="preserve">﴿وَلَا تَقْتُلُوا أَنفُسَكُمْ﴾</w:t>
      </w:r>
      <w:r>
        <w:rPr>
          <w:rFonts w:ascii="Simplified Arabic" w:cs="Simplified Arabic" w:eastAsia="Simplified Arabic" w:hAnsi="Simplified Arabic"/>
          <w:b w:val="false"/>
          <w:bCs w:val="false"/>
          <w:sz w:val="28"/>
          <w:szCs w:val="28"/>
          <w:rtl/>
        </w:rPr>
        <w:t xml:space="preserve"> (النساء: 29). والثانية: الامتناع عن علاج مريض تُرجى حياته أو نزع أجهزته، وهو محرّم كذلك، وقد يكون قتلًا بالتسبّب. والثالثة: رفع الأجهزة عمّن مات دماغه موتًا موثّقًا، وهذه هي مسألتنا، وليست من قتل الرحمة في شيء؛ لأنّ قتل الرحمة إزهاق حياة قائمة، وهذا رفعُ آلةٍ عن ميت أو - على أضعف الأقوال - كفٌّ عن دعم عبثيّ لمن لا تُرجى حياته البتّة</w:t>
      </w:r>
      <w:r>
        <w:rPr>
          <w:rStyle w:val="FootnoteReference"/>
        </w:rPr>
        <w:footnoteReference w:id="45"/>
      </w:r>
      <w:r>
        <w:rPr>
          <w:rFonts w:ascii="Simplified Arabic" w:cs="Simplified Arabic" w:eastAsia="Simplified Arabic" w:hAnsi="Simplified Arabic"/>
          <w:b w:val="false"/>
          <w:bCs w:val="false"/>
          <w:sz w:val="28"/>
          <w:szCs w:val="28"/>
          <w:rtl/>
        </w:rPr>
        <w:t xml:space="preserve">، وبذا صرّح الباحثون في موت الرحمة وأحكامه</w:t>
      </w:r>
      <w:r>
        <w:rPr>
          <w:rStyle w:val="FootnoteReference"/>
        </w:rPr>
        <w:footnoteReference w:id="46"/>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الضوابط والشروط الشرعيّة لنزع الأجهزة الطبيّة</w:t>
      </w:r>
    </w:p>
    <w:p>
      <w:pPr>
        <w:bidi/>
        <w:spacing w:after="160" w:line="360"/>
        <w:jc w:val="both"/>
      </w:pPr>
      <w:r>
        <w:rPr>
          <w:rFonts w:ascii="Simplified Arabic" w:cs="Simplified Arabic" w:eastAsia="Simplified Arabic" w:hAnsi="Simplified Arabic"/>
          <w:b w:val="false"/>
          <w:bCs w:val="false"/>
          <w:sz w:val="28"/>
          <w:szCs w:val="28"/>
          <w:rtl/>
        </w:rPr>
        <w:t xml:space="preserve">استقرأ الباحثون من قرارات المجامع وفتاوى أهل العلم والأنظمة الطبيّة جملة ضوابط لا يجوز الإقدام على النزع إلا باستيفائها، أهمّها</w:t>
      </w:r>
      <w:r>
        <w:rPr>
          <w:rStyle w:val="FootnoteReference"/>
        </w:rPr>
        <w:footnoteReference w:id="47"/>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يثبت التوقف النهائيّ لجميع وظائف الدماغ، بما فيها جذع الدماغ، ثبوتًا لا رجعة فيه، بتقرير لجنة من ثلاثة أطباء اختصاصيّين خبراء عدول على الأقلّ.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استيفاء البروتوكول الطبيّ كاملًا: استبعاد المؤثّرات المشوّشة، والفحص السريريّ التامّ، واختبار انقطاع النفَس، وتكرار الفحص بفاصل زمنيّ، والاستعانة بالفحوص المساندة عند الحاجة.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استقلال لجنة تشخيص الوفاة استقلالًا تامًّا عن أيّ فريق معنيّ بزراعة الأعضاء، حسمًا لمادّة التهمة، وهو شرط نصّت عليه الأنظمة والدراسات الفقهيّة المتعلقة بنقل الأعضاء</w:t>
      </w:r>
      <w:r>
        <w:rPr>
          <w:rStyle w:val="FootnoteReference"/>
        </w:rPr>
        <w:footnoteReference w:id="48"/>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ألا يكون الباعث على النزع مجرّد توفير النفقات مع قيام رجاء معتبر للحياة؛ فإن انتفى الرجاء بالكليّة لم يجب استنزاف أموال الأهل في دعم لا طائل تحته.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إعلام أهل المريض وتفهيمهم حقيقة الحال برفق، وإشراكهم في القرار جبرًا لخواطرهم، من غير أن يُعلَّق الحكم الشرعيّ على إذنهم عند ثبوت الموت؛ فإنّ الميت لا يبقى موصولًا بالأجهزة لمجرد تعلّق الأهل.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توثيق التشخيص والقرار وإجراءاته توثيقًا كاملًا في الملفّ الطبيّ، لحفظ الحقوق ودرء المسؤوليّة.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الرجوع عند الاشتباه أو التنازع إلى اللجان الشرعيّة الطبيّة المختصّة أو جهات الإفتاء.</w:t>
      </w:r>
    </w:p>
    <w:p>
      <w:pPr>
        <w:bidi/>
        <w:spacing w:after="1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أحسب أنّ هذه الضوابط هي مركز الثقل في المسألة كلّها؛ فالخلاف النظريّ في حقيقة الموت يهون أثره العمليّ متى استوفيت الضوابط، ويعظم الخطر متى فُرّط فيها، حتى على قول من يرى الموت الدماغيّ موتًا. ولذلك لم أجد في كلّ ما قرأت مجيزًا واحدًا أطلق الجواز بلا شرط، وهذا وحده شاهد على أنّ الشريعة تعالج النوازل بميزان دقيق لا بإطلاقات جزافيّة.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الرابع: موقف المجامع الفقهيّة والقوانين الوضعيّة</w:t>
      </w:r>
    </w:p>
    <w:p>
      <w:pPr>
        <w:bidi/>
        <w:spacing w:after="200" w:line="360"/>
        <w:jc w:val="center"/>
      </w:pPr>
      <w:r>
        <w:rPr>
          <w:rFonts w:ascii="Simplified Arabic" w:cs="Simplified Arabic" w:eastAsia="Simplified Arabic" w:hAnsi="Simplified Arabic"/>
          <w:b/>
          <w:bCs/>
          <w:sz w:val="28"/>
          <w:szCs w:val="28"/>
          <w:rtl/>
        </w:rPr>
        <w:t xml:space="preserve">وفيه ثلاثة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قرارات المجامع الفقهيّة المعاصرة.</w:t>
      </w:r>
    </w:p>
    <w:p>
      <w:pPr>
        <w:bidi/>
        <w:spacing w:after="200" w:line="360"/>
        <w:jc w:val="center"/>
      </w:pPr>
      <w:r>
        <w:rPr>
          <w:rFonts w:ascii="Simplified Arabic" w:cs="Simplified Arabic" w:eastAsia="Simplified Arabic" w:hAnsi="Simplified Arabic"/>
          <w:b/>
          <w:bCs/>
          <w:sz w:val="28"/>
          <w:szCs w:val="28"/>
          <w:rtl/>
        </w:rPr>
        <w:t xml:space="preserve">المبحث الثاني: موقف القوانين الوضعيّة من نزع الأجهزة الطبيّة.</w:t>
      </w:r>
    </w:p>
    <w:p>
      <w:pPr>
        <w:bidi/>
        <w:spacing w:after="200" w:line="360"/>
        <w:jc w:val="center"/>
      </w:pPr>
      <w:r>
        <w:rPr>
          <w:rFonts w:ascii="Simplified Arabic" w:cs="Simplified Arabic" w:eastAsia="Simplified Arabic" w:hAnsi="Simplified Arabic"/>
          <w:b/>
          <w:bCs/>
          <w:sz w:val="28"/>
          <w:szCs w:val="28"/>
          <w:rtl/>
        </w:rPr>
        <w:t xml:space="preserve">المبحث الثالث: المسؤوليّة الطبيّة والآثار القانونيّة المترتبة.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قرارات المجامع الفقهيّة المعاصرة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قرار مجمع الفقه الإسلاميّ الدوليّ (عمّان 1986م).</w:t>
      </w:r>
    </w:p>
    <w:p>
      <w:pPr>
        <w:bidi/>
        <w:spacing w:after="160" w:line="360"/>
        <w:jc w:val="both"/>
      </w:pPr>
      <w:r>
        <w:rPr>
          <w:rFonts w:ascii="Simplified Arabic" w:cs="Simplified Arabic" w:eastAsia="Simplified Arabic" w:hAnsi="Simplified Arabic"/>
          <w:b w:val="false"/>
          <w:bCs w:val="false"/>
          <w:sz w:val="28"/>
          <w:szCs w:val="28"/>
          <w:rtl/>
        </w:rPr>
        <w:t xml:space="preserve">أصدر مجمع الفقه الإسلاميّ الدوليّ المنبثق عن منظمة التعاون الإسلاميّ، في دورته الثالثة المنعقدة بعمّان سنة 1406هـ/1986م، قراره الشهير بشأن أجهزة الإنعاش، وجاء فيه أنّ الشخص يعتبر شرعًا قد مات وتترتب عليه جميع الأحكام المقرّرة شرعًا للوفاة إذا تبيّنت فيه إحدى علامتين: إذا توقف قلبه وتنفّسه توقفًا تامًّا وحكم الأطباء بأنّ هذا التوقف لا رجعة فيه، أو إذا تعطّلت جميع وظائف دماغه تعطّلًا نهائيًّا وحكم الأطباء الاختصاصيّون الخبراء بأنّ هذا التعطّل لا رجعة فيه وأخذ دماغه في التحلّل؛ وفي هذه الحالة يسوغ رفع أجهزة الإنعاش المركّبة على الشخص وإن كان بعض الأعضاء كالقلب لا يزال يعمل آليًّا بفعل الأجهزة</w:t>
      </w:r>
      <w:r>
        <w:rPr>
          <w:rStyle w:val="FootnoteReference"/>
        </w:rPr>
        <w:footnoteReference w:id="49"/>
      </w:r>
      <w:r>
        <w:rPr>
          <w:rFonts w:ascii="Simplified Arabic" w:cs="Simplified Arabic" w:eastAsia="Simplified Arabic" w:hAnsi="Simplified Arabic"/>
          <w:b w:val="false"/>
          <w:bCs w:val="false"/>
          <w:sz w:val="28"/>
          <w:szCs w:val="28"/>
          <w:rtl/>
        </w:rPr>
        <w:t xml:space="preserve">. وهذا القرار هو عمدة القائلين باعتبار الموت الدماغيّ، وقد سبقته ندوة "الحياة الإنسانيّة: بدايتها ونهايتها في المفهوم الإسلاميّ" التي عقدتها المنظمة الإسلاميّة للعلوم الطبيّة بالكويت سنة 1985م ومهّدت له علميًّا</w:t>
      </w:r>
      <w:r>
        <w:rPr>
          <w:rStyle w:val="FootnoteReference"/>
        </w:rPr>
        <w:footnoteReference w:id="50"/>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قرار المجمع الفقهيّ برابطة العالم الإسلاميّ (مكة 1987م).</w:t>
      </w:r>
    </w:p>
    <w:p>
      <w:pPr>
        <w:bidi/>
        <w:spacing w:after="160" w:line="360"/>
        <w:jc w:val="both"/>
      </w:pPr>
      <w:r>
        <w:rPr>
          <w:rFonts w:ascii="Simplified Arabic" w:cs="Simplified Arabic" w:eastAsia="Simplified Arabic" w:hAnsi="Simplified Arabic"/>
          <w:b w:val="false"/>
          <w:bCs w:val="false"/>
          <w:sz w:val="28"/>
          <w:szCs w:val="28"/>
          <w:rtl/>
        </w:rPr>
        <w:t xml:space="preserve">ذهب المجمع الفقهيّ الإسلاميّ برابطة العالم الإسلاميّ في دورته العاشرة بمكة المكرمة سنة 1408هـ/1987م مذهبًا وسطًا، فقرّر أنّ المريض الذي ركّبت عليه أجهزة الإنعاش يجوز رفعها إذا تعطّلت جميع وظائف دماغه تعطّلًا نهائيًّا وقرّرت لجنة من ثلاثة أطباء اختصاصيّين خبراء أنّ التعطّل لا رجعة فيه، وإن كان القلب والتنفّس لا يزالان يعملان آليًّا بفعل الأجهزة؛ لكنه لا يُحكم بموته شرعًا إلا إذا توقف التنفّس والقلب توقفًا تامًّا بعد رفع هذه الأجهزة</w:t>
      </w:r>
      <w:r>
        <w:rPr>
          <w:rStyle w:val="FootnoteReference"/>
        </w:rPr>
        <w:footnoteReference w:id="51"/>
      </w:r>
      <w:r>
        <w:rPr>
          <w:rFonts w:ascii="Simplified Arabic" w:cs="Simplified Arabic" w:eastAsia="Simplified Arabic" w:hAnsi="Simplified Arabic"/>
          <w:b w:val="false"/>
          <w:bCs w:val="false"/>
          <w:sz w:val="28"/>
          <w:szCs w:val="28"/>
          <w:rtl/>
        </w:rPr>
        <w:t xml:space="preserve">. فوافق قرارَ مجمع جدّة في جواز الرفع، وخالفه في توقيت ترتيب أحكام الوفاة، جمعًا بين المعطى الطبيّ والاحتياط للأحكام الشرعيّة.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فتاوى الهيئات والدور الإفتائيّة.</w:t>
      </w:r>
    </w:p>
    <w:p>
      <w:pPr>
        <w:bidi/>
        <w:spacing w:after="160" w:line="360"/>
        <w:jc w:val="both"/>
      </w:pPr>
      <w:r>
        <w:rPr>
          <w:rFonts w:ascii="Simplified Arabic" w:cs="Simplified Arabic" w:eastAsia="Simplified Arabic" w:hAnsi="Simplified Arabic"/>
          <w:b w:val="false"/>
          <w:bCs w:val="false"/>
          <w:sz w:val="28"/>
          <w:szCs w:val="28"/>
          <w:rtl/>
        </w:rPr>
        <w:t xml:space="preserve">تباينت مواقف الهيئات الإفتائيّة تبعًا للقولين السابقين؛ فمالت هيئات إلى التحفّظ في اعتبار الموت الدماغيّ موتًا مع إجازة رفع الأجهزة عمّن لا تُرجى حياته، وهو الغالب على اتجاه دور الإفتاء في مصر وكثير من فتاوى علماء الحرمين</w:t>
      </w:r>
      <w:r>
        <w:rPr>
          <w:rStyle w:val="FootnoteReference"/>
        </w:rPr>
        <w:footnoteReference w:id="52"/>
      </w:r>
      <w:r>
        <w:rPr>
          <w:rFonts w:ascii="Simplified Arabic" w:cs="Simplified Arabic" w:eastAsia="Simplified Arabic" w:hAnsi="Simplified Arabic"/>
          <w:b w:val="false"/>
          <w:bCs w:val="false"/>
          <w:sz w:val="28"/>
          <w:szCs w:val="28"/>
          <w:rtl/>
        </w:rPr>
        <w:t xml:space="preserve">، بينما تبنّت هيئات أخرى قرار مجمع جدّة بتمامه. والمستقرّ عند عامّة المفتين المعاصرين أمران: تحريم الفعل الإيجابيّ المزهق مطلقًا، وجواز الكفّ عن الوسائل الاستثنائيّة فيمن شهد أهل الاختصاص بأنه لا تُرجى حياته</w:t>
      </w:r>
      <w:r>
        <w:rPr>
          <w:rStyle w:val="FootnoteReference"/>
        </w:rPr>
        <w:footnoteReference w:id="53"/>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موقف القوانين الوضعيّة من نزع الأجهزة الطبيّة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القوانين الغربيّة.</w:t>
      </w:r>
    </w:p>
    <w:p>
      <w:pPr>
        <w:bidi/>
        <w:spacing w:after="160" w:line="360"/>
        <w:jc w:val="both"/>
      </w:pPr>
      <w:r>
        <w:rPr>
          <w:rFonts w:ascii="Simplified Arabic" w:cs="Simplified Arabic" w:eastAsia="Simplified Arabic" w:hAnsi="Simplified Arabic"/>
          <w:b w:val="false"/>
          <w:bCs w:val="false"/>
          <w:sz w:val="28"/>
          <w:szCs w:val="28"/>
          <w:rtl/>
        </w:rPr>
        <w:t xml:space="preserve">استقرّ القانون في الولايات المتحدة منذ قانون التحديد الموحّد للوفاة سنة 1981م على أنّ الوفاة تثبت بأحد معيارين: التوقف النهائيّ للدورة الدمويّة والتنفّس، أو التوقف النهائيّ لجميع وظائف الدماغ بما فيها جذع الدماغ، وبمثله أخذت عامّة القوانين الأوروبيّة</w:t>
      </w:r>
      <w:r>
        <w:rPr>
          <w:rStyle w:val="FootnoteReference"/>
        </w:rPr>
        <w:footnoteReference w:id="54"/>
      </w:r>
      <w:r>
        <w:rPr>
          <w:rFonts w:ascii="Simplified Arabic" w:cs="Simplified Arabic" w:eastAsia="Simplified Arabic" w:hAnsi="Simplified Arabic"/>
          <w:b w:val="false"/>
          <w:bCs w:val="false"/>
          <w:sz w:val="28"/>
          <w:szCs w:val="28"/>
          <w:rtl/>
        </w:rPr>
        <w:t xml:space="preserve">. ومع ذلك شهدت المحاكم الأمريكيّة نزاعات شهيرة كشفت حساسيّة المسألة، أبرزها قضيّة الفتاة جاهي مكماث التي أصرّ أهلها على إبقاء الأجهزة بعد إعلان موتها الدماغيّ، وقضيّة مارليز مونيوز الحامل التي أبقى المستشفى أجهزتها رغم إرادة زوجها حتى فصلت المحكمة، وقد بيّن الفقيه القانونيّ غوستين أنّ القانون يحمي إعلان الوفاة بالمعيار الدماغيّ ولا يلزم المستشفيات بدعم جثمان الميت، مع مراعاة تسوية إنسانيّة مؤقتة لمشاعر الأهل</w:t>
      </w:r>
      <w:r>
        <w:rPr>
          <w:rStyle w:val="FootnoteReference"/>
        </w:rPr>
        <w:footnoteReference w:id="55"/>
      </w:r>
      <w:r>
        <w:rPr>
          <w:rFonts w:ascii="Simplified Arabic" w:cs="Simplified Arabic" w:eastAsia="Simplified Arabic" w:hAnsi="Simplified Arabic"/>
          <w:b w:val="false"/>
          <w:bCs w:val="false"/>
          <w:sz w:val="28"/>
          <w:szCs w:val="28"/>
          <w:rtl/>
        </w:rPr>
        <w:t xml:space="preserve">. كما تتيح بعض الولايات والقوانين، ومنها إرشادات الأكاديميّة الأمريكيّة لطبّ الأعصاب، تسويات محدودة لأصحاب الاعتراضات الدينيّة</w:t>
      </w:r>
      <w:r>
        <w:rPr>
          <w:rStyle w:val="FootnoteReference"/>
        </w:rPr>
        <w:footnoteReference w:id="56"/>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القوانين العربيّة.</w:t>
      </w:r>
    </w:p>
    <w:p>
      <w:pPr>
        <w:bidi/>
        <w:spacing w:after="160" w:line="360"/>
        <w:jc w:val="both"/>
      </w:pPr>
      <w:r>
        <w:rPr>
          <w:rFonts w:ascii="Simplified Arabic" w:cs="Simplified Arabic" w:eastAsia="Simplified Arabic" w:hAnsi="Simplified Arabic"/>
          <w:b w:val="false"/>
          <w:bCs w:val="false"/>
          <w:sz w:val="28"/>
          <w:szCs w:val="28"/>
          <w:rtl/>
        </w:rPr>
        <w:t xml:space="preserve">أخذت أكثر التشريعات العربيّة الحديثة بمعيار الموت الدماغيّ مقيّدًا بضوابط مستمدّة من قرارات المجامع الفقهيّة؛ فنظّم المشرّع الإماراتيّ المسألة في قانون المسؤوليّة الطبيّة الاتحاديّ لسنة 2016م ولوائحه التي حدّدت معايير تشخيص الوفاة الدماغيّة وإجراءات لجانها وأجازت رفع الأجهزة بعد ثبوتها</w:t>
      </w:r>
      <w:r>
        <w:rPr>
          <w:rStyle w:val="FootnoteReference"/>
        </w:rPr>
        <w:footnoteReference w:id="57"/>
      </w:r>
      <w:r>
        <w:rPr>
          <w:rFonts w:ascii="Simplified Arabic" w:cs="Simplified Arabic" w:eastAsia="Simplified Arabic" w:hAnsi="Simplified Arabic"/>
          <w:b w:val="false"/>
          <w:bCs w:val="false"/>
          <w:sz w:val="28"/>
          <w:szCs w:val="28"/>
          <w:rtl/>
        </w:rPr>
        <w:t xml:space="preserve">، وربط المشرّع المصريّ أحكام الوفاة الدماغيّة بقانون تنظيم زرع الأعضاء البشريّة لسنة 2010م ولجانه الثلاثيّة</w:t>
      </w:r>
      <w:r>
        <w:rPr>
          <w:rStyle w:val="FootnoteReference"/>
        </w:rPr>
        <w:footnoteReference w:id="58"/>
      </w:r>
      <w:r>
        <w:rPr>
          <w:rFonts w:ascii="Simplified Arabic" w:cs="Simplified Arabic" w:eastAsia="Simplified Arabic" w:hAnsi="Simplified Arabic"/>
          <w:b w:val="false"/>
          <w:bCs w:val="false"/>
          <w:sz w:val="28"/>
          <w:szCs w:val="28"/>
          <w:rtl/>
        </w:rPr>
        <w:t xml:space="preserve">، ونظّم المشرّع الجزائريّ معاينة الوفاة الدماغيّة في قانون الصحة لسنة 2018م في سياق نقل الأعضاء</w:t>
      </w:r>
      <w:r>
        <w:rPr>
          <w:rStyle w:val="FootnoteReference"/>
        </w:rPr>
        <w:footnoteReference w:id="5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القانون الإسرائيليّ.</w:t>
      </w:r>
    </w:p>
    <w:p>
      <w:pPr>
        <w:bidi/>
        <w:spacing w:after="160" w:line="360"/>
        <w:jc w:val="both"/>
      </w:pPr>
      <w:r>
        <w:rPr>
          <w:rFonts w:ascii="Simplified Arabic" w:cs="Simplified Arabic" w:eastAsia="Simplified Arabic" w:hAnsi="Simplified Arabic"/>
          <w:b w:val="false"/>
          <w:bCs w:val="false"/>
          <w:sz w:val="28"/>
          <w:szCs w:val="28"/>
          <w:rtl/>
        </w:rPr>
        <w:t xml:space="preserve">يخصّ مجتمعنا هنا قانون الموت الدماغيّ-التنفّسيّ لسنة 2008م، الذي وُضع بتوافق مع المرجعيّات الدينيّة، فاشترط لإعلان الوفاة الدماغيّة: تشخيصًا بواسطة طبيبَين مؤهَّلَين اعتمدتهما لجنة خاصة، وإثبات توقف التنفّس الذاتيّ وتعطّل جذع الدماغ بفحص سريريّ وفحص مسانِد آليّ، كما أوجب مراعاة موقف الأسرة الدينيّ، فمن اعترض أهله لأسباب دينيّة أو ضميريّة على المعيار الدماغيّ لا تُنزع عنه أجهزة التنفّس حتى يتوقف قلبه</w:t>
      </w:r>
      <w:r>
        <w:rPr>
          <w:rStyle w:val="FootnoteReference"/>
        </w:rPr>
        <w:footnoteReference w:id="60"/>
      </w:r>
      <w:r>
        <w:rPr>
          <w:rFonts w:ascii="Simplified Arabic" w:cs="Simplified Arabic" w:eastAsia="Simplified Arabic" w:hAnsi="Simplified Arabic"/>
          <w:b w:val="false"/>
          <w:bCs w:val="false"/>
          <w:sz w:val="28"/>
          <w:szCs w:val="28"/>
          <w:rtl/>
        </w:rPr>
        <w:t xml:space="preserve">. وهذا النموذج التوفيقيّ قريب في روحه من مسلك مجمع الرابطة، إذ جمع بين اعتماد المعيار العلميّ واحترام معتقد الأسرة.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المسؤوليّة الطبيّة والآثار القانونيّة المترتبة</w:t>
      </w:r>
    </w:p>
    <w:p>
      <w:pPr>
        <w:bidi/>
        <w:spacing w:after="160" w:line="360"/>
        <w:jc w:val="both"/>
      </w:pPr>
      <w:r>
        <w:rPr>
          <w:rFonts w:ascii="Simplified Arabic" w:cs="Simplified Arabic" w:eastAsia="Simplified Arabic" w:hAnsi="Simplified Arabic"/>
          <w:b w:val="false"/>
          <w:bCs w:val="false"/>
          <w:sz w:val="28"/>
          <w:szCs w:val="28"/>
          <w:rtl/>
        </w:rPr>
        <w:t xml:space="preserve">يتحصّل من الدراسات القانونيّة المقارنة أنّ التكييف القانونيّ لنزع الأجهزة يدور على ثبوت الوفاة؛ فمن نزع الأجهزة عن مريض لم تثبت وفاته الدماغيّة وفق الإجراءات المقرّرة، فتوقف قلبه ومات، فهو معرَّض للمساءلة الجنائيّة عن قتل عمد أو خطأ بحسب قصده وتفريطه، وللمسؤوليّة المدنيّة بالتعويض، وللمساءلة التأديبيّة المهنيّة</w:t>
      </w:r>
      <w:r>
        <w:rPr>
          <w:rStyle w:val="FootnoteReference"/>
        </w:rPr>
        <w:footnoteReference w:id="61"/>
      </w:r>
      <w:r>
        <w:rPr>
          <w:rFonts w:ascii="Simplified Arabic" w:cs="Simplified Arabic" w:eastAsia="Simplified Arabic" w:hAnsi="Simplified Arabic"/>
          <w:b w:val="false"/>
          <w:bCs w:val="false"/>
          <w:sz w:val="28"/>
          <w:szCs w:val="28"/>
          <w:rtl/>
        </w:rPr>
        <w:t xml:space="preserve">. أمّا إذا ثبتت الوفاة الدماغيّة باستيفاء البروتوكول واللجان والتوثيق، فإنّ رفع الأجهزة عمل مشروع لا تترتب عليه مسؤوليّة؛ لأنّ محلّ الحماية الجنائيّة، وهو الإنسان الحيّ، قد زال، ولأنّ الطبيب أدّى واجبه وفق أصول المهنة المستقرّة</w:t>
      </w:r>
      <w:r>
        <w:rPr>
          <w:rStyle w:val="FootnoteReference"/>
        </w:rPr>
        <w:footnoteReference w:id="62"/>
      </w:r>
      <w:r>
        <w:rPr>
          <w:rFonts w:ascii="Simplified Arabic" w:cs="Simplified Arabic" w:eastAsia="Simplified Arabic" w:hAnsi="Simplified Arabic"/>
          <w:b w:val="false"/>
          <w:bCs w:val="false"/>
          <w:sz w:val="28"/>
          <w:szCs w:val="28"/>
          <w:rtl/>
        </w:rPr>
        <w:t xml:space="preserve">. ومن هنا كانت قيمة التوثيق والالتزام الحرفيّ بالإجراءات: فهي صمّام أمان الطبيب أمام القضاء، وصمّام أمان المريض من التعجّل.</w:t>
      </w:r>
    </w:p>
    <w:p>
      <w:pPr>
        <w:bidi/>
        <w:spacing w:after="1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الملاحظ من الموازنة بين الفقه والقانون أنّ القوانين العربيّة لم تبتدع معيارها ابتداعًا، بل بنت على قرارات المجامع الفقهيّة، حتى صارت صياغة "لجنة من ثلاثة أطباء اختصاصيّين خبراء" تتردّد في النصوص القانونيّة بحروفها تقريبًا كما وردت في قرار المجمع؛ وهذا شاهد عمليّ على قدرة الفقه الإسلاميّ على قيادة التقنين في النوازل الكبرى لا مجرّد اللحاق به.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الخامس: الترجيح والنتائج والتوصيات</w:t>
      </w:r>
    </w:p>
    <w:p>
      <w:pPr>
        <w:bidi/>
        <w:spacing w:after="200" w:line="360"/>
        <w:jc w:val="center"/>
      </w:pPr>
      <w:r>
        <w:rPr>
          <w:rFonts w:ascii="Simplified Arabic" w:cs="Simplified Arabic" w:eastAsia="Simplified Arabic" w:hAnsi="Simplified Arabic"/>
          <w:b/>
          <w:bCs/>
          <w:sz w:val="28"/>
          <w:szCs w:val="28"/>
          <w:rtl/>
        </w:rPr>
        <w:t xml:space="preserve">وفيه ثلاثة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الترجيح بين الأقوال الفقهيّة.</w:t>
      </w:r>
    </w:p>
    <w:p>
      <w:pPr>
        <w:bidi/>
        <w:spacing w:after="200" w:line="360"/>
        <w:jc w:val="center"/>
      </w:pPr>
      <w:r>
        <w:rPr>
          <w:rFonts w:ascii="Simplified Arabic" w:cs="Simplified Arabic" w:eastAsia="Simplified Arabic" w:hAnsi="Simplified Arabic"/>
          <w:b/>
          <w:bCs/>
          <w:sz w:val="28"/>
          <w:szCs w:val="28"/>
          <w:rtl/>
        </w:rPr>
        <w:t xml:space="preserve">المبحث الثاني: أهمّ النتائج التي توصّل إليها البحث.</w:t>
      </w:r>
    </w:p>
    <w:p>
      <w:pPr>
        <w:bidi/>
        <w:spacing w:after="200" w:line="360"/>
        <w:jc w:val="center"/>
      </w:pPr>
      <w:r>
        <w:rPr>
          <w:rFonts w:ascii="Simplified Arabic" w:cs="Simplified Arabic" w:eastAsia="Simplified Arabic" w:hAnsi="Simplified Arabic"/>
          <w:b/>
          <w:bCs/>
          <w:sz w:val="28"/>
          <w:szCs w:val="28"/>
          <w:rtl/>
        </w:rPr>
        <w:t xml:space="preserve">المبحث الثالث: التوصيات والمقترحات.</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الترجيح بين الأقوال الفقهيّة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القول الراجح.</w:t>
      </w:r>
    </w:p>
    <w:p>
      <w:pPr>
        <w:bidi/>
        <w:spacing w:after="160" w:line="360"/>
        <w:jc w:val="both"/>
      </w:pPr>
      <w:r>
        <w:rPr>
          <w:rFonts w:ascii="Simplified Arabic" w:cs="Simplified Arabic" w:eastAsia="Simplified Arabic" w:hAnsi="Simplified Arabic"/>
          <w:b w:val="false"/>
          <w:bCs w:val="false"/>
          <w:sz w:val="28"/>
          <w:szCs w:val="28"/>
          <w:rtl/>
        </w:rPr>
        <w:t xml:space="preserve">الذي يترجّح لي بعد عرض الأقوال وأدلّتها ومناقشتها هو مسلك الجمع الذي يظهر من مجموع قراري المجمعين، وحاصله: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من ثبت تعطّل جميع وظائف دماغه تعطّلًا نهائيًّا لا رجعة فيه، باستيفاء الضوابط الطبيّة والشرعيّة المتقدّمة، يجوز نزع أجهزة الإنعاش عنه، بل هو الأولى؛ صيانةً لكرامة الميت، ورفعًا للحرج والضرر عن الأهل، وإيثارًا بالأجهزة لمن تُرجى حياته.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الأحكام الشرعيّة المترتبة على الوفاة، كقسمة الميراث وابتداء عدّة الزوجة وتنفيذ الوصايا، يُحتاط فيها فلا تجري إلا بعد التوقف التامّ للقلب والتنفّس عقب رفع الأجهزة؛ خروجًا من الخلاف، وسدًّا لذريعة التلاعب، ولأنّ التوقف يقع بعد الرفع بمدّة يسيرة غالبًا فلا يلحق أصحاب الحقوق ضرر معتبر بهذا الاحتياط.</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أسباب الترجيح.</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يُعمل أدلّة الفريقين جميعًا، وإعمال الدليلين أولى من إهمال أحدهما: فيأخذ من القول الأوّل اعتبار الشهادة الطبيّة القاطعة، ومن الثاني الاحتياط لأحكام الذمم والفروج والأموال.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يحقّق مقاصد الشريعة مجتمعة: حفظ النفس بمنع التعجّل قبل ثبوت الموت، وحفظ الكرامة برفع العبث بالجثمان، وحفظ المال بمنع الاستنزاف فيما لا طائل تحته، ورفع الحرج عن الأطباء والأهل.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المسلك الذي استقرّت عليه عمليًّا أكثر التشريعات في بلاد المسلمين، وجرى عليه العمل في المستشفيات، ومخالفة ما استقرّ عليه العمل بلا موجب شرعيّ ظاهر مفسدة.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فيه درءًا لأعظم المفسدتين بارتكاب أخفّهما، عملًا بقاعدة درء المفاسد، وموازنةً صحيحة بين المصالح كما يقتضيه فقه الموازنات في هذه النازلة</w:t>
      </w:r>
      <w:r>
        <w:rPr>
          <w:rStyle w:val="FootnoteReference"/>
        </w:rPr>
        <w:footnoteReference w:id="63"/>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أهمّ النتائج التي توصّل إليها البحث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الموت في الشرع مفارقة الروح للبدن، وهو حقيقة غيبيّة تُعرف بعلاماتها، والعلامات التي ذكرها الفقهاء المتقدّمون اجتهاديّة مبنيّة على وسائل عصرهم، لا تعبّديّة توقيفيّة.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يجب التفريق بين الموت السريريّ بالمعنى الطبيّ الدقيق، وهو حالة قابلة للإنعاش، وبين الموت الدماغيّ الذي لا رجعة فيه، وبينهما وبين الحالة النباتيّة التي صاحبها حيّ بلا خلاف؛ وما شاع من إطلاق "الميت سريريًّا" على الميت دماغيًّا اصطلاح فقهيّ معاصر جرى عليه الباحثون.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تشخيص الموت الدماغيّ عمليّة دقيقة محكومة ببروتوكول صارم: فحص سريريّ، واختبار انقطاع النفَس، وفحوص مساندة، وتكرار، وتعدّد أطباء؛ وأخطاء التشخيص المسجّلة مردّها الإخلال بالبروتوكول لا قصور المعايير.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المعاصرون على حرمة قتل الرحمة بالفعل الإيجابيّ، وعلى حرمة نزع الأجهزة عمّن تُرجى حياته، وإنما وقع خلافهم في الميت دماغيًّا.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جمهور المجامع على أنّ الموت الدماغيّ الموثّق موت شرعيّ، وذهب آخرون إلى التوقف حتى يسكن القلب؛ والفريقان متفقان عمليًّا على جواز رفع الأجهزة عنه بالضوابط.</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الراجح جواز نزع الأجهزة عن الميت دماغيًّا بعد استيفاء الضوابط، مع الاحتياط في الأحكام الماليّة والأسريّة فلا تجري إلا بعد التوقف التامّ للقلب والتنفّس.</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نزع الأجهزة بالضوابط ليس من قتل الرحمة المحرّم في شيء، والخلط بينهما خطأ شائع يجب تصحيحه في الخطاب الدعويّ والإعلاميّ.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القوانين العربيّة الحديثة، والقانون الإسرائيليّ لسنة 2008م، بنت معاييرها على مزيج من المعطى الطبيّ العالميّ والمرجعيّة الدينيّة، وجاءت قريبة من مسلك المجامع الفقهيّة.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المسؤوليّة الطبيّة مدارها على ثبوت الوفاة واستيفاء الإجراءات: فالنزع قبل الثبوت جريمة، وبعده بالضوابط عمل مشروع لا مسؤوليّة فيه.</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التوصيات والمقترحات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اعتماد بروتوكول موحّد معتمد شرعًا وطبًّا لتشخيص الموت الدماغيّ في المستشفيات التي تخدم مجتمعنا، يُلزم بلجنة ثلاثيّة مستقلّة وتوثيق كامل.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إنشاء لجان شرعيّة-طبيّة دائمة في المستشفيات الكبرى يرجع إليها الأهل والأطباء عند النزاع أو الاشتباه، بدل ترك الأسر لاجتهادات فرديّة متعارضة.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إعداد وثيقة تفهيم موحّدة بالعربيّة، بلغة رحيمة واضحة، تشرح للأسرة حقيقة الموت الدماغيّ والفرق بينه وبين الغيبوبة، تُسلَّم لها قبل طلب أيّ قرار.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تدريب الأئمة والوعّاظ والمرشدين على فقه هذه النازلة ليكونوا عونًا للأسر في ساعة البلاء، ولقطع الطريق على الفتاوى العشوائيّة.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إدراج مسألة الموت الدماغيّ ونزع الأجهزة في مساقات الفقه الطبيّ بالكليّات الشرعيّة وكليّات الطبّ والتمريض في مجتمعنا.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إجراء دراسة ميدانيّة مستقبليّة عن وعي الأسر العربيّة المسلمة في البلاد بأحكام هذه النازلة، وعن واقع التعامل معها في المستشفيات المحليّة.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الخاتمة</w:t>
      </w:r>
    </w:p>
    <w:p>
      <w:pPr>
        <w:bidi/>
        <w:spacing w:after="160" w:line="360"/>
        <w:jc w:val="both"/>
      </w:pPr>
      <w:r>
        <w:rPr>
          <w:rFonts w:ascii="Simplified Arabic" w:cs="Simplified Arabic" w:eastAsia="Simplified Arabic" w:hAnsi="Simplified Arabic"/>
          <w:b w:val="false"/>
          <w:bCs w:val="false"/>
          <w:sz w:val="28"/>
          <w:szCs w:val="28"/>
          <w:rtl/>
        </w:rPr>
        <w:t xml:space="preserve">الحمد لله الذي بنعمته تتمّ الصالحات، فقد طوّف هذا البحث بمسألة من أدقّ نوازل العصر وأمسّها بحرمة النفس الإنسانيّة، فحرّر مصطلحاتها الطبيّة، وأصّل مفهوم الموت في الفقه الإسلاميّ، وعرض أقوال الفقهاء والمجامع وأدلّتهم، وقابلها بمواقف القوانين الوضعيّة، وانتهى إلى ترجيح جواز نزع الأجهزة الطبيّة عمّن ثبت موته الدماغيّ بالضوابط الشرعيّة والطبيّة، مع الاحتياط في الأحكام المترتبة على الوفاة حتى يتوقف القلب والتنفّس توقفًا تامًّا.</w:t>
      </w:r>
    </w:p>
    <w:p>
      <w:pPr>
        <w:bidi/>
        <w:spacing w:after="160" w:line="360"/>
        <w:jc w:val="both"/>
      </w:pPr>
      <w:r>
        <w:rPr>
          <w:rFonts w:ascii="Simplified Arabic" w:cs="Simplified Arabic" w:eastAsia="Simplified Arabic" w:hAnsi="Simplified Arabic"/>
          <w:b w:val="false"/>
          <w:bCs w:val="false"/>
          <w:sz w:val="28"/>
          <w:szCs w:val="28"/>
          <w:rtl/>
        </w:rPr>
        <w:t xml:space="preserve">وقد تبيّن لي في رحلة هذا البحث أنّ الشريعة الإسلاميّة لم تضق يومًا بنازلة، وأنّ قوّتها في قواعدها ومقاصدها التي تستوعب كلّ جديد؛ فبين يقين الحياة الذي لا يزول بالشكّ، وحرمة الجسد التي لا تسقط بالموت، ورفع الضرر الذي لا يُقابل بضرر، اهتدى الفقهاء المعاصرون إلى ميزان دقيق يجمع بين إكرام الميت ورحمة الحيّ. أسأل الله أن يجعل هذا العمل خالصًا لوجهه، نافعًا لطلبته، وأن يغفر لي ما فيه من زلل، فما كان فيه من صواب فمن الله، وما كان من خطأ فمن نفسي ومن الشيطان، والحمد لله ربّ العالمين.</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الفهارس</w:t>
      </w:r>
    </w:p>
    <w:p>
      <w:pPr>
        <w:bidi/>
        <w:spacing w:after="200" w:line="360"/>
        <w:jc w:val="center"/>
      </w:pPr>
      <w:r>
        <w:rPr>
          <w:rFonts w:ascii="Simplified Arabic" w:cs="Simplified Arabic" w:eastAsia="Simplified Arabic" w:hAnsi="Simplified Arabic"/>
          <w:b/>
          <w:bCs/>
          <w:sz w:val="28"/>
          <w:szCs w:val="28"/>
          <w:rtl/>
        </w:rPr>
        <w:t xml:space="preserve">فهرس الآيات.</w:t>
      </w:r>
    </w:p>
    <w:p>
      <w:pPr>
        <w:bidi/>
        <w:spacing w:after="200" w:line="360"/>
        <w:jc w:val="center"/>
      </w:pPr>
      <w:r>
        <w:rPr>
          <w:rFonts w:ascii="Simplified Arabic" w:cs="Simplified Arabic" w:eastAsia="Simplified Arabic" w:hAnsi="Simplified Arabic"/>
          <w:b/>
          <w:bCs/>
          <w:sz w:val="28"/>
          <w:szCs w:val="28"/>
          <w:rtl/>
        </w:rPr>
        <w:t xml:space="preserve">فهرس الأحاديث.</w:t>
      </w:r>
    </w:p>
    <w:p>
      <w:pPr>
        <w:bidi/>
        <w:spacing w:after="200" w:line="360"/>
        <w:jc w:val="center"/>
      </w:pPr>
      <w:r>
        <w:rPr>
          <w:rFonts w:ascii="Simplified Arabic" w:cs="Simplified Arabic" w:eastAsia="Simplified Arabic" w:hAnsi="Simplified Arabic"/>
          <w:b/>
          <w:bCs/>
          <w:sz w:val="28"/>
          <w:szCs w:val="28"/>
          <w:rtl/>
        </w:rPr>
        <w:t xml:space="preserve">فهرس الأعلام.</w:t>
      </w:r>
    </w:p>
    <w:p>
      <w:pPr>
        <w:bidi/>
        <w:spacing w:after="200" w:line="360"/>
        <w:jc w:val="center"/>
      </w:pPr>
      <w:r>
        <w:rPr>
          <w:rFonts w:ascii="Simplified Arabic" w:cs="Simplified Arabic" w:eastAsia="Simplified Arabic" w:hAnsi="Simplified Arabic"/>
          <w:b/>
          <w:bCs/>
          <w:sz w:val="28"/>
          <w:szCs w:val="28"/>
          <w:rtl/>
        </w:rPr>
        <w:t xml:space="preserve">فهرس المصادر والمراجع.</w:t>
      </w:r>
    </w:p>
    <w:p>
      <w:pPr>
        <w:bidi/>
        <w:spacing w:after="200" w:line="360"/>
        <w:jc w:val="center"/>
      </w:pPr>
      <w:r>
        <w:rPr>
          <w:rFonts w:ascii="Simplified Arabic" w:cs="Simplified Arabic" w:eastAsia="Simplified Arabic" w:hAnsi="Simplified Arabic"/>
          <w:b/>
          <w:bCs/>
          <w:sz w:val="28"/>
          <w:szCs w:val="28"/>
          <w:rtl/>
        </w:rPr>
        <w:t xml:space="preserve">فهرس المحتويات.</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الآيات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 النساء: 29.</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 البقرة: 195.</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 آل عمران: 145.</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 آل عمران: 185.</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 المائدة: 32.</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 الإسراء: 70.</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 الزمر: 42.</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الأحاديث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"كسر عظم الميت ككسره حيًّا" - رواه أبو داود.</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"لا ضرر ولا ضرار" - رواه مالك في الموطأ.</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أنزل الله داءً إلا أنزل له شفاءً" - رواه البخاري.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"إذا مات الإنسان انقطع عمله إلا من ثلاث" - رواه مسلم.</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الأعلام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الأنصاريّ (630-711هـ)، صاحب لسان العرب - ترجمته في حاشية المبحث الأوّل من الفصل الأوّل.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عثيمين، محمد بن صالح العثيمين (1347-1421هـ)، الفقيه الأصوليّ - ترجمته في حاشية المبحث الأوّل من الفصل الثالث.</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المصادر والمراجع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كتب الحديث والتراث واللغة: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أبي عبد الله محمد بن اسماعيل (2002). صحيح البخاري (تحقيق حسونة النواوي). ط1، دمشق بيروت: دار ابن كثير.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كتاب الجنائز.</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ثالثًا: المراجع الفقهيّة والقانونيّة الحديثة: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مجلة الشهاب، الجزائر، مج8، ع2، ص411-434.</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مجلة جمعية أنصار السنة المحمدية، مصر، مج14، ع88، ص14-16.</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ص1-48.</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قياسة، ندى (2010). الموت الدماغي بين الطب والدين. مجلة جامعة دمشق للعلوم الاقتصادية والقانونية، مج26، ع1، ص479 وما بعدها.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مجلة الإحياء، الجزائر، ص263 وما بعدها.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رابعًا: القرارات والقوانين: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 (חוק מוות מוחי-נשימתי, התשס"ח-2008)، الكنيست.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خامسًا: المراجع الأجنبيّة: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Indian Journal of Critical Care Medicine, 32(3), 405-411.</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Ancillary Tests for Brain Death (2025). Frontiers in Neurology, vol. 15 (2024), published January 7, 2025.</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المحتويات</w:t>
      </w:r>
    </w:p>
    <w:sdt>
      <w:sdtPr>
        <w:alias w:val="فهرس المحتويات"/>
      </w:sdtPr>
      <w:sdtContent>
        <w:p>
          <w:r>
            <w:fldChar w:fldCharType="begin" w:dirty="true"/>
            <w:instrText xml:space="preserve">TOC \h \o "1-3"</w:instrText>
            <w:fldChar w:fldCharType="separate"/>
          </w:r>
        </w:p>
        <w:p>
          <w:r>
            <w:fldChar w:fldCharType="end"/>
          </w:r>
        </w:p>
      </w:sdtContent>
    </w:sdt>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pPr>
      <w:r>
        <w:rPr>
          <w:rStyle w:val="FootnoteReference"/>
        </w:rPr>
        <w:footnoteRef/>
      </w:r>
      <w:r>
        <w:rPr>
          <w:rFonts w:ascii="Simplified Arabic" w:cs="Simplified Arabic" w:eastAsia="Simplified Arabic" w:hAnsi="Simplified Arabic"/>
          <w:sz w:val="22"/>
          <w:szCs w:val="22"/>
          <w:rtl/>
        </w:rPr>
        <w:t xml:space="preserve"> أبو داود، سليمان بن الأشعث. سنن أبي داود، كتاب الجنائز، باب في الحفّار يجد العظم، رقم الحديث 3207.</w:t>
      </w:r>
    </w:p>
  </w:footnote>
  <w:footnote w:id="2">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هو محمد بن مكرم بن علي الأنصاريّ الإفريقيّ ثم المصريّ، جمال الدين أبو الفضل، صاحب "لسان العرب"، وُلد سنة 630هـ وتوفي سنة 711هـ. (ينظر ترجمته في مقدمات طبعات لسان العرب، دار صادر).</w:t>
      </w:r>
    </w:p>
  </w:footnote>
  <w:footnote w:id="3">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(موت).</w:t>
      </w:r>
    </w:p>
  </w:footnote>
  <w:footnote w:id="4">
    <w:p>
      <w:pPr>
        <w:bidi/>
        <w:spacing w:line="240"/>
      </w:pPr>
      <w:r>
        <w:rPr>
          <w:rStyle w:val="FootnoteReference"/>
        </w:rPr>
        <w:footnoteRef/>
      </w:r>
      <w:r>
        <w:rPr>
          <w:rFonts w:ascii="Simplified Arabic" w:cs="Simplified Arabic" w:eastAsia="Simplified Arabic" w:hAnsi="Simplified Arabic"/>
          <w:sz w:val="22"/>
          <w:szCs w:val="22"/>
          <w:rtl/>
        </w:rPr>
        <w:t xml:space="preserve"> الفيروزآبادي، مجد الدين. القاموس المحيط. بيروت: مؤسسة الرسالة، مادة (موت).</w:t>
      </w:r>
    </w:p>
  </w:footnote>
  <w:footnote w:id="5">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6">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7">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 وما بعدها.</w:t>
      </w:r>
    </w:p>
  </w:footnote>
  <w:footnote w:id="8">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9">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10">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1">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2">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3">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4">
    <w:p>
      <w:pPr>
        <w:bidi/>
        <w:spacing w:line="240"/>
      </w:pPr>
      <w:r>
        <w:rPr>
          <w:rStyle w:val="FootnoteReference"/>
        </w:rPr>
        <w:footnoteRef/>
      </w:r>
      <w:r>
        <w:rPr>
          <w:rFonts w:ascii="Simplified Arabic" w:cs="Simplified Arabic" w:eastAsia="Simplified Arabic" w:hAnsi="Simplified Arabic"/>
          <w:sz w:val="22"/>
          <w:szCs w:val="22"/>
          <w:rtl/>
        </w:rPr>
        <w:t xml:space="preserve"> شتوان، بلقاسم (2012). إشكالية الموت السريري الإكلينيكي بين الفقه والطب وأثره على نقل وزرع الأعضاء البشرية. مجلة الشريعة والاقتصاد، مج1، ع2، ص329-348.</w:t>
      </w:r>
    </w:p>
  </w:footnote>
  <w:footnote w:id="15">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16">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17">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18">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19">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 وما بعدها.</w:t>
      </w:r>
    </w:p>
  </w:footnote>
  <w:footnote w:id="20">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1">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22">
    <w:p>
      <w:pPr>
        <w:bidi/>
        <w:spacing w:line="240"/>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Indian Journal of Critical Care Medicine, 32(3), 405-411.</w:t>
      </w:r>
    </w:p>
  </w:footnote>
  <w:footnote w:id="23">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24">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25">
    <w:p>
      <w:pPr>
        <w:bidi/>
        <w:spacing w:line="240"/>
      </w:pPr>
      <w:r>
        <w:rPr>
          <w:rStyle w:val="FootnoteReference"/>
        </w:rPr>
        <w:footnoteRef/>
      </w:r>
      <w:r>
        <w:rPr>
          <w:rFonts w:ascii="Simplified Arabic" w:cs="Simplified Arabic" w:eastAsia="Simplified Arabic" w:hAnsi="Simplified Arabic"/>
          <w:sz w:val="22"/>
          <w:szCs w:val="22"/>
          <w:rtl/>
        </w:rPr>
        <w:t xml:space="preserve"> شتوان، بلقاسم (2012). إشكالية الموت السريري الإكلينيكي بين الفقه والطب وأثره على نقل وزرع الأعضاء البشرية. مجلة الشريعة والاقتصاد، مج1، ع2، ص329-348.</w:t>
      </w:r>
    </w:p>
  </w:footnote>
  <w:footnote w:id="26">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27">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28">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29">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30">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1">
    <w:p>
      <w:pPr>
        <w:bidi/>
        <w:spacing w:line="240"/>
      </w:pPr>
      <w:r>
        <w:rPr>
          <w:rStyle w:val="FootnoteReference"/>
        </w:rPr>
        <w:footnoteRef/>
      </w:r>
      <w:r>
        <w:rPr>
          <w:rFonts w:ascii="Simplified Arabic" w:cs="Simplified Arabic" w:eastAsia="Simplified Arabic" w:hAnsi="Simplified Arabic"/>
          <w:sz w:val="22"/>
          <w:szCs w:val="22"/>
          <w:rtl/>
        </w:rPr>
        <w:t xml:space="preserve"> ابن عثيمين: هو محمد بن صالح بن محمد العثيمين الوهيبيّ التميميّ، فقيه أصوليّ مفسّر، وُلد سنة 1347هـ بعنيزة، من أشهر كتبه "الشرح الممتع على زاد المستقنع" و"مجموع الفتاوى والرسائل"، توفي سنة 1421هـ.</w:t>
      </w:r>
    </w:p>
  </w:footnote>
  <w:footnote w:id="32">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33">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34">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35">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36">
    <w:p>
      <w:pPr>
        <w:bidi/>
        <w:spacing w:line="240"/>
      </w:pPr>
      <w:r>
        <w:rPr>
          <w:rStyle w:val="FootnoteReference"/>
        </w:rPr>
        <w:footnoteRef/>
      </w:r>
      <w:r>
        <w:rPr>
          <w:rFonts w:ascii="Simplified Arabic" w:cs="Simplified Arabic" w:eastAsia="Simplified Arabic" w:hAnsi="Simplified Arabic"/>
          <w:sz w:val="22"/>
          <w:szCs w:val="22"/>
          <w:rtl/>
        </w:rPr>
        <w:t xml:space="preserve"> مالك، أبو عبد الله مالك بن أنس بن مالك بن أبي عامر (1985). موطأ مالك (تحقيق محمد فؤاد عبد الباقي). ط1، 3ج، القاهرة: دار الأصيل مركز البحوث وتقنية المعلومات، رقم الحديث 1896، 3ج، ص193.</w:t>
      </w:r>
    </w:p>
  </w:footnote>
  <w:footnote w:id="37">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(تحقيق شيخ جامع الأزهر حسونة النواوي). ط1، 1ج، دمشق بيروت: دار ابن كثير، كتاب الطب، رقم الحديث 5678.</w:t>
      </w:r>
    </w:p>
  </w:footnote>
  <w:footnote w:id="38">
    <w:p>
      <w:pPr>
        <w:bidi/>
        <w:spacing w:line="240"/>
      </w:pPr>
      <w:r>
        <w:rPr>
          <w:rStyle w:val="FootnoteReference"/>
        </w:rPr>
        <w:footnoteRef/>
      </w:r>
      <w:r>
        <w:rPr>
          <w:rFonts w:ascii="Simplified Arabic" w:cs="Simplified Arabic" w:eastAsia="Simplified Arabic" w:hAnsi="Simplified Arabic"/>
          <w:sz w:val="22"/>
          <w:szCs w:val="22"/>
          <w:rtl/>
        </w:rPr>
        <w:t xml:space="preserve"> مسلم، الامام أبو الحسين مسلم بن الحجاج القشيري النيسابوري (2006). صحيح مسلم (تحقيق نظر بن محمد الفاريابي أبو قتيبة). ط1، 2ج، المنصورة: مكتبة الإيمان، رقم الحديث 1631.</w:t>
      </w:r>
    </w:p>
  </w:footnote>
  <w:footnote w:id="39">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 ص25.</w:t>
      </w:r>
    </w:p>
  </w:footnote>
  <w:footnote w:id="40">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 ص85-90.</w:t>
      </w:r>
    </w:p>
  </w:footnote>
  <w:footnote w:id="41">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42">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43">
    <w:p>
      <w:pPr>
        <w:bidi/>
        <w:spacing w:line="240"/>
      </w:pPr>
      <w:r>
        <w:rPr>
          <w:rStyle w:val="FootnoteReference"/>
        </w:rPr>
        <w:footnoteRef/>
      </w:r>
      <w:r>
        <w:rPr>
          <w:rFonts w:ascii="Simplified Arabic" w:cs="Simplified Arabic" w:eastAsia="Simplified Arabic" w:hAnsi="Simplified Arabic"/>
          <w:sz w:val="22"/>
          <w:szCs w:val="22"/>
          <w:rtl/>
        </w:rPr>
        <w:t xml:space="preserve"> المجمع الفقهي الإسلامي برابطة العالم الإسلامي، قرار الدورة العاشرة، مكة المكرمة، 1408هـ/1987م، بشأن أجهزة الإنعاش؛ وينظر: الزرعوني، راشد محمود (2024). ضوابط رفع أجهزة الإنعاش الصناعي عن الميت دماغيًّا. مجلة البحوث القانونية والاقتصادية، مج66، ع1.</w:t>
      </w:r>
    </w:p>
  </w:footnote>
  <w:footnote w:id="44">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45">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46">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47">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48">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49">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50">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51">
    <w:p>
      <w:pPr>
        <w:bidi/>
        <w:spacing w:line="240"/>
      </w:pPr>
      <w:r>
        <w:rPr>
          <w:rStyle w:val="FootnoteReference"/>
        </w:rPr>
        <w:footnoteRef/>
      </w:r>
      <w:r>
        <w:rPr>
          <w:rFonts w:ascii="Simplified Arabic" w:cs="Simplified Arabic" w:eastAsia="Simplified Arabic" w:hAnsi="Simplified Arabic"/>
          <w:sz w:val="22"/>
          <w:szCs w:val="22"/>
          <w:rtl/>
        </w:rPr>
        <w:t xml:space="preserve"> المجمع الفقهي الإسلامي برابطة العالم الإسلامي، قرار الدورة العاشرة، مكة المكرمة، 1408هـ/1987م، بشأن أجهزة الإنعاش؛ وينظر: الزرعوني، راشد محمود (2024). ضوابط رفع أجهزة الإنعاش الصناعي عن الميت دماغيًّا. مجلة البحوث القانونية والاقتصادية، مج66، ع1.</w:t>
      </w:r>
    </w:p>
  </w:footnote>
  <w:footnote w:id="52">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53">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54">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5">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56">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57">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58">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59">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60">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61">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62">
    <w:p>
      <w:pPr>
        <w:bidi/>
        <w:spacing w:line="240"/>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63">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2"/>
      <w:szCs w:val="22"/>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2026-08-14T18:17:29.592Z</dcterms:created>
  <dcterms:modified xsi:type="dcterms:W3CDTF">2026-08-14T18:17:29.592Z</dcterms:modified>
</cp:coreProperties>
</file>

<file path=docProps/custom.xml><?xml version="1.0" encoding="utf-8"?>
<Properties xmlns="http://schemas.openxmlformats.org/officeDocument/2006/custom-properties" xmlns:vt="http://schemas.openxmlformats.org/officeDocument/2006/docPropsVTypes"/>
</file>