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1C673" w14:textId="502C2432" w:rsidR="00BE6345" w:rsidRPr="00D54772" w:rsidRDefault="00BE6345" w:rsidP="00BE6345">
      <w:pPr>
        <w:spacing w:line="360" w:lineRule="auto"/>
        <w:ind w:left="-90" w:right="-270" w:firstLine="0"/>
        <w:jc w:val="center"/>
        <w:rPr>
          <w:bCs/>
          <w:smallCaps/>
          <w:sz w:val="72"/>
          <w:szCs w:val="72"/>
        </w:rPr>
      </w:pPr>
      <w:r/>
      <w:r>
        <w:rPr>
          <w:rFonts w:ascii="Times New Roman" w:hAnsi="Times New Roman" w:cs="David"/>
          <w:b w:val="1"/>
          <w:bCs w:val="1"/>
          <w:sz w:val="32"/>
          <w:szCs w:val="32"/>
          <w:rtl w:val="1"/>
        </w:rPr>
        <w:t>ותק באגף ולגיטימיות: הקשר בין משך השהייה באגף לבין תפיסת ההוגנות והיחס מצד סגל הכליאה בקרב אסירים פליליים בישראל</w:t>
      </w:r>
    </w:p>
    <w:p w14:paraId="49B701D1" w14:textId="77777777" w:rsidR="00BE6345" w:rsidRPr="00D54772" w:rsidRDefault="00BE6345" w:rsidP="00BE6345">
      <w:pPr>
        <w:ind w:left="-90" w:right="-270"/>
        <w:jc w:val="center"/>
        <w:rPr>
          <w:bCs/>
          <w:smallCaps/>
          <w:sz w:val="72"/>
          <w:szCs w:val="72"/>
          <w:rtl/>
        </w:rPr>
      </w:pPr>
    </w:p>
    <w:p w14:paraId="0CCD992D" w14:textId="77777777" w:rsidR="00BE6345" w:rsidRDefault="00BE6345" w:rsidP="00BE6345">
      <w:pPr>
        <w:ind w:left="-90" w:right="-870"/>
        <w:jc w:val="center"/>
        <w:rPr>
          <w:rtl/>
        </w:rPr>
      </w:pPr>
    </w:p>
    <w:p w14:paraId="467A1C8D" w14:textId="77777777" w:rsidR="00BE6345" w:rsidRPr="00357DAD" w:rsidRDefault="00BE6345" w:rsidP="00BE6345">
      <w:pPr>
        <w:ind w:left="-90" w:right="-870"/>
        <w:jc w:val="center"/>
      </w:pPr>
    </w:p>
    <w:p w14:paraId="55A638D2" w14:textId="1F39E027" w:rsidR="00BE6345" w:rsidRPr="00357DAD" w:rsidRDefault="00BE6345" w:rsidP="00BE6345">
      <w:pPr>
        <w:ind w:left="-90" w:right="-3" w:firstLine="0"/>
        <w:jc w:val="center"/>
      </w:pPr>
      <w:r/>
      <w:r>
        <w:rPr>
          <w:rFonts w:ascii="Times New Roman" w:hAnsi="Times New Roman" w:cs="David"/>
          <w:b w:val="0"/>
          <w:bCs w:val="0"/>
          <w:sz w:val="24"/>
          <w:szCs w:val="24"/>
          <w:rtl w:val="1"/>
        </w:rPr>
        <w:t>עבודה מוגשת במסגרת סמינריון תנאי כליאה של אסירים פליליים בישראל ובעולם</w:t>
      </w:r>
    </w:p>
    <w:p w14:paraId="64DEA3D5" w14:textId="77777777" w:rsidR="00BE6345" w:rsidRPr="00357DAD" w:rsidRDefault="00BE6345" w:rsidP="00BE6345">
      <w:pPr>
        <w:ind w:left="-90" w:right="-3" w:firstLine="0"/>
        <w:jc w:val="center"/>
      </w:pPr>
      <w:r/>
      <w:r>
        <w:rPr>
          <w:rFonts w:ascii="Times New Roman" w:hAnsi="Times New Roman" w:cs="David"/>
          <w:b w:val="0"/>
          <w:bCs w:val="0"/>
          <w:sz w:val="24"/>
          <w:szCs w:val="24"/>
          <w:rtl w:val="1"/>
        </w:rPr>
        <w:t>מאת</w:t>
      </w:r>
    </w:p>
    <w:p w14:paraId="4C401086" w14:textId="455ADE04" w:rsidR="00BE6345" w:rsidRDefault="00BE6345" w:rsidP="00BE6345">
      <w:pPr>
        <w:tabs>
          <w:tab w:val="left" w:pos="3611"/>
          <w:tab w:val="center" w:pos="4231"/>
        </w:tabs>
        <w:ind w:left="-90" w:right="-3" w:firstLine="0"/>
        <w:jc w:val="center"/>
        <w:rPr>
          <w:bCs/>
          <w:sz w:val="36"/>
          <w:szCs w:val="36"/>
          <w:rtl/>
        </w:rPr>
      </w:pPr>
      <w:r/>
      <w:r>
        <w:rPr>
          <w:rFonts w:ascii="Times New Roman" w:hAnsi="Times New Roman" w:cs="David"/>
          <w:b w:val="0"/>
          <w:bCs w:val="0"/>
          <w:sz w:val="24"/>
          <w:szCs w:val="24"/>
          <w:rtl w:val="1"/>
        </w:rPr>
        <w:t>שם מלא, מספר תעודת זהות</w:t>
      </w:r>
    </w:p>
    <w:p w14:paraId="68CCCC35" w14:textId="77777777" w:rsidR="00BE6345" w:rsidRDefault="00BE6345" w:rsidP="00BE6345">
      <w:pPr>
        <w:tabs>
          <w:tab w:val="left" w:pos="3611"/>
          <w:tab w:val="center" w:pos="4231"/>
        </w:tabs>
        <w:ind w:left="-90" w:right="-3" w:firstLine="0"/>
        <w:jc w:val="center"/>
        <w:rPr>
          <w:bCs/>
          <w:sz w:val="36"/>
          <w:szCs w:val="36"/>
          <w:rtl/>
        </w:rPr>
      </w:pPr>
      <w:r/>
      <w:r>
        <w:rPr>
          <w:rFonts w:ascii="Times New Roman" w:hAnsi="Times New Roman" w:cs="David"/>
          <w:b w:val="0"/>
          <w:bCs w:val="0"/>
          <w:sz w:val="24"/>
          <w:szCs w:val="24"/>
          <w:rtl w:val="1"/>
        </w:rPr>
        <w:t>שם מלא, מספר תעודת זהות</w:t>
      </w:r>
    </w:p>
    <w:p w14:paraId="187F389D" w14:textId="72042637" w:rsidR="00BE6345" w:rsidRPr="00357DAD" w:rsidRDefault="00BE6345" w:rsidP="00BE6345">
      <w:pPr>
        <w:tabs>
          <w:tab w:val="left" w:pos="3611"/>
          <w:tab w:val="center" w:pos="4231"/>
        </w:tabs>
        <w:ind w:left="-90" w:right="-3" w:firstLine="0"/>
        <w:jc w:val="center"/>
        <w:rPr>
          <w:bCs/>
        </w:rPr>
      </w:pPr>
      <w:r/>
      <w:r>
        <w:rPr>
          <w:rFonts w:ascii="Times New Roman" w:hAnsi="Times New Roman" w:cs="David"/>
          <w:b w:val="0"/>
          <w:bCs w:val="0"/>
          <w:sz w:val="24"/>
          <w:szCs w:val="24"/>
          <w:rtl w:val="1"/>
        </w:rPr>
        <w:t>בהנחיית: שם המרצה</w:t>
      </w:r>
    </w:p>
    <w:p w14:paraId="50C6BEF8" w14:textId="33A6F58E" w:rsidR="00BE6345" w:rsidRPr="00357DAD" w:rsidRDefault="00BE6345" w:rsidP="00BE6345">
      <w:pPr>
        <w:ind w:left="-90" w:right="-3" w:firstLine="0"/>
        <w:jc w:val="center"/>
      </w:pPr>
      <w:r/>
      <w:r>
        <w:rPr>
          <w:rFonts w:ascii="Times New Roman" w:hAnsi="Times New Roman" w:cs="David"/>
          <w:b w:val="0"/>
          <w:bCs w:val="0"/>
          <w:sz w:val="24"/>
          <w:szCs w:val="24"/>
          <w:rtl w:val="1"/>
        </w:rPr>
        <w:t>החוג לקרימינולוגיה</w:t>
      </w:r>
    </w:p>
    <w:p w14:paraId="73990536" w14:textId="77777777" w:rsidR="00BE6345" w:rsidRPr="00357DAD" w:rsidRDefault="00BE6345" w:rsidP="00BE6345">
      <w:pPr>
        <w:ind w:left="-90" w:right="-3"/>
        <w:jc w:val="center"/>
        <w:rPr>
          <w:b/>
          <w:rtl/>
        </w:rPr>
      </w:pPr>
    </w:p>
    <w:p w14:paraId="5069CFA5" w14:textId="4564BB9F" w:rsidR="00BE6345" w:rsidRPr="00357DAD" w:rsidRDefault="00BE6345" w:rsidP="00BE6345">
      <w:pPr>
        <w:ind w:left="-90" w:right="-3" w:firstLine="0"/>
        <w:jc w:val="center"/>
      </w:pPr>
      <w:r/>
      <w:r>
        <w:rPr>
          <w:rFonts w:ascii="Times New Roman" w:hAnsi="Times New Roman" w:cs="David"/>
          <w:b w:val="0"/>
          <w:bCs w:val="0"/>
          <w:sz w:val="24"/>
          <w:szCs w:val="24"/>
          <w:rtl w:val="1"/>
        </w:rPr>
        <w:t>המכללה האקדמית אשקלון</w:t>
      </w:r>
    </w:p>
    <w:p w14:paraId="064FBD7E" w14:textId="77777777" w:rsidR="00BE6345" w:rsidRDefault="00BE6345" w:rsidP="00BE6345">
      <w:pPr>
        <w:ind w:left="-90" w:right="-3"/>
        <w:jc w:val="center"/>
        <w:rPr>
          <w:b/>
          <w:rtl/>
        </w:rPr>
      </w:pPr>
    </w:p>
    <w:p w14:paraId="3C25485D" w14:textId="77777777" w:rsidR="00BE6345" w:rsidRDefault="00BE6345" w:rsidP="00BE6345">
      <w:pPr>
        <w:ind w:left="-90" w:right="-3"/>
        <w:jc w:val="center"/>
        <w:rPr>
          <w:b/>
          <w:rtl/>
        </w:rPr>
      </w:pPr>
    </w:p>
    <w:p w14:paraId="7D55FD76" w14:textId="77777777" w:rsidR="00BE6345" w:rsidRPr="00357DAD" w:rsidRDefault="00BE6345" w:rsidP="00BE6345">
      <w:pPr>
        <w:ind w:left="-90" w:right="-3"/>
        <w:jc w:val="center"/>
        <w:rPr>
          <w:b/>
          <w:rtl/>
        </w:rPr>
      </w:pPr>
    </w:p>
    <w:p w14:paraId="66E9845C" w14:textId="77777777" w:rsidR="00BE6345" w:rsidRPr="00357DAD" w:rsidRDefault="00BE6345" w:rsidP="00BE6345">
      <w:pPr>
        <w:ind w:left="-90" w:right="-3"/>
        <w:jc w:val="center"/>
        <w:rPr>
          <w:b/>
          <w:rtl/>
        </w:rPr>
      </w:pPr>
    </w:p>
    <w:p w14:paraId="2787BE3A" w14:textId="77777777" w:rsidR="00BE6345" w:rsidRPr="00357DAD" w:rsidRDefault="00BE6345" w:rsidP="00BE6345">
      <w:pPr>
        <w:ind w:left="-90" w:right="-3"/>
        <w:jc w:val="center"/>
        <w:rPr>
          <w:b/>
          <w:rtl/>
        </w:rPr>
      </w:pPr>
    </w:p>
    <w:p w14:paraId="1D9973C4" w14:textId="1D66DBFB" w:rsidR="00BE6345" w:rsidRPr="00357DAD" w:rsidRDefault="00BE6345" w:rsidP="00BE6345">
      <w:pPr>
        <w:ind w:left="-90" w:right="-3" w:firstLine="0"/>
        <w:jc w:val="center"/>
        <w:rPr>
          <w:rtl/>
        </w:rPr>
      </w:pPr>
      <w:r/>
      <w:r>
        <w:rPr>
          <w:rFonts w:ascii="Times New Roman" w:hAnsi="Times New Roman" w:cs="David"/>
          <w:b w:val="0"/>
          <w:bCs w:val="0"/>
          <w:sz w:val="24"/>
          <w:szCs w:val="24"/>
          <w:rtl w:val="1"/>
        </w:rPr>
        <w:t>אשקלון</w:t>
        <w:tab/>
        <w:tab/>
        <w:tab/>
        <w:tab/>
        <w:tab/>
        <w:tab/>
        <w:t>אלול תשפ"ו, אוגוסט 2026</w:t>
      </w:r>
    </w:p>
    <w:p w14:paraId="22FADEA0" w14:textId="77777777" w:rsidR="00BE6345" w:rsidRPr="00357DAD" w:rsidRDefault="00BE6345" w:rsidP="00BE6345">
      <w:pPr>
        <w:widowControl w:val="0"/>
        <w:spacing w:after="0"/>
        <w:ind w:left="-90"/>
        <w:jc w:val="center"/>
      </w:pPr>
    </w:p>
    <w:p w14:paraId="0D3B715A" w14:textId="77777777" w:rsidR="00BE6345" w:rsidRPr="00357DAD" w:rsidRDefault="00BE6345" w:rsidP="00BE6345">
      <w:pPr>
        <w:widowControl w:val="0"/>
        <w:spacing w:after="0"/>
        <w:ind w:left="-90"/>
        <w:jc w:val="center"/>
      </w:pPr>
    </w:p>
    <w:p w14:paraId="3C783946" w14:textId="77777777" w:rsidR="00BE6345" w:rsidRPr="00357DAD" w:rsidRDefault="00BE6345" w:rsidP="00BE6345">
      <w:pPr>
        <w:widowControl w:val="0"/>
        <w:spacing w:after="0"/>
        <w:ind w:left="-90"/>
        <w:jc w:val="center"/>
      </w:pPr>
    </w:p>
    <w:sdt>
      <w:sdtPr>
        <w:rPr>
          <w:rtl/>
        </w:rPr>
        <w:alias w:val="תוכן"/>
        <w:id w:val="1428464245"/>
      </w:sdtPr>
      <w:sdtContent>
        <w:p w14:paraId="5A54B7BD" w14:textId="1B5675E7" w:rsidR="00127B5D" w:rsidRDefault="00000000" w:rsidP="00127B5D">
          <w:pPr>
            <w:pStyle w:val="TOC1"/>
            <w:tabs>
              <w:tab w:val="right" w:leader="dot" w:pos="9016"/>
            </w:tabs>
            <w:rPr>
              <w:rFonts w:asciiTheme="minorHAnsi" w:eastAsiaTheme="minorEastAsia" w:hAnsiTheme="minorHAnsi" w:cstheme="minorBidi"/>
              <w:noProof/>
              <w:kern w:val="2"/>
              <w14:ligatures w14:val="standardContextual"/>
            </w:rPr>
          </w:pPr>
          <w:r w:rsidRPr="00FD2CA7">
            <w:fldChar w:fldCharType="begin"/>
          </w:r>
          <w:r w:rsidRPr="00FD2CA7">
            <w:instrText>TOC \h \o "1-3"</w:instrText>
          </w:r>
          <w:r w:rsidRPr="00FD2CA7">
            <w:fldChar w:fldCharType="separate"/>
          </w:r>
          <w:hyperlink w:anchor="_Toc236721614" w:history="1">
            <w:r w:rsidR="00127B5D" w:rsidRPr="008F1A1E">
              <w:rPr>
                <w:rStyle w:val="Hyperlink"/>
                <w:noProof/>
                <w:rtl/>
              </w:rPr>
              <w:t>תוכן עניינים</w:t>
            </w:r>
            <w:r w:rsidR="00127B5D">
              <w:rPr>
                <w:noProof/>
              </w:rPr>
              <w:tab/>
            </w:r>
            <w:r w:rsidR="00127B5D">
              <w:rPr>
                <w:rStyle w:val="Hyperlink"/>
                <w:noProof/>
                <w:rtl/>
              </w:rPr>
              <w:fldChar w:fldCharType="begin"/>
            </w:r>
            <w:r w:rsidR="00127B5D">
              <w:rPr>
                <w:noProof/>
              </w:rPr>
              <w:instrText xml:space="preserve"> PAGEREF _Toc236721614 \h </w:instrText>
            </w:r>
            <w:r w:rsidR="00127B5D">
              <w:rPr>
                <w:rStyle w:val="Hyperlink"/>
                <w:noProof/>
                <w:rtl/>
              </w:rPr>
            </w:r>
            <w:r w:rsidR="00127B5D">
              <w:rPr>
                <w:rStyle w:val="Hyperlink"/>
                <w:noProof/>
                <w:rtl/>
              </w:rPr>
              <w:fldChar w:fldCharType="separate"/>
            </w:r>
            <w:r w:rsidR="00127B5D">
              <w:rPr>
                <w:noProof/>
              </w:rPr>
              <w:t>2</w:t>
            </w:r>
            <w:r w:rsidR="00127B5D">
              <w:rPr>
                <w:rStyle w:val="Hyperlink"/>
                <w:noProof/>
                <w:rtl/>
              </w:rPr>
              <w:fldChar w:fldCharType="end"/>
            </w:r>
          </w:hyperlink>
        </w:p>
        <w:p w14:paraId="7F19C3D2" w14:textId="19474AD6"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15" w:history="1">
            <w:r w:rsidRPr="008F1A1E">
              <w:rPr>
                <w:rStyle w:val="Hyperlink"/>
                <w:noProof/>
                <w:rtl/>
              </w:rPr>
              <w:t>תקציר בעברית</w:t>
            </w:r>
            <w:r>
              <w:rPr>
                <w:noProof/>
              </w:rPr>
              <w:tab/>
            </w:r>
            <w:r>
              <w:rPr>
                <w:rStyle w:val="Hyperlink"/>
                <w:noProof/>
                <w:rtl/>
              </w:rPr>
              <w:fldChar w:fldCharType="begin"/>
            </w:r>
            <w:r>
              <w:rPr>
                <w:noProof/>
              </w:rPr>
              <w:instrText xml:space="preserve"> PAGEREF _Toc236721615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1A7A3A4A" w14:textId="549B8E31"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16" w:history="1">
            <w:r w:rsidRPr="008F1A1E">
              <w:rPr>
                <w:rStyle w:val="Hyperlink"/>
                <w:noProof/>
                <w:rtl/>
              </w:rPr>
              <w:t>תקציר באנגלית</w:t>
            </w:r>
            <w:r>
              <w:rPr>
                <w:noProof/>
              </w:rPr>
              <w:tab/>
            </w:r>
            <w:r>
              <w:rPr>
                <w:rStyle w:val="Hyperlink"/>
                <w:noProof/>
                <w:rtl/>
              </w:rPr>
              <w:fldChar w:fldCharType="begin"/>
            </w:r>
            <w:r>
              <w:rPr>
                <w:noProof/>
              </w:rPr>
              <w:instrText xml:space="preserve"> PAGEREF _Toc236721616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5E1AEB0B" w14:textId="27695F62"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17" w:history="1">
            <w:r w:rsidRPr="008F1A1E">
              <w:rPr>
                <w:rStyle w:val="Hyperlink"/>
                <w:noProof/>
                <w:rtl/>
              </w:rPr>
              <w:t>מבוא</w:t>
            </w:r>
            <w:r>
              <w:rPr>
                <w:noProof/>
              </w:rPr>
              <w:tab/>
            </w:r>
            <w:r>
              <w:rPr>
                <w:rStyle w:val="Hyperlink"/>
                <w:noProof/>
                <w:rtl/>
              </w:rPr>
              <w:fldChar w:fldCharType="begin"/>
            </w:r>
            <w:r>
              <w:rPr>
                <w:noProof/>
              </w:rPr>
              <w:instrText xml:space="preserve"> PAGEREF _Toc236721617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49B7EDBF" w14:textId="25C979F4"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18" w:history="1">
            <w:r w:rsidRPr="008F1A1E">
              <w:rPr>
                <w:rStyle w:val="Hyperlink"/>
                <w:noProof/>
                <w:rtl/>
              </w:rPr>
              <w:t>תת כותרת של המבוא</w:t>
            </w:r>
            <w:r>
              <w:rPr>
                <w:noProof/>
              </w:rPr>
              <w:tab/>
            </w:r>
            <w:r>
              <w:rPr>
                <w:rStyle w:val="Hyperlink"/>
                <w:noProof/>
                <w:rtl/>
              </w:rPr>
              <w:fldChar w:fldCharType="begin"/>
            </w:r>
            <w:r>
              <w:rPr>
                <w:noProof/>
              </w:rPr>
              <w:instrText xml:space="preserve"> PAGEREF _Toc236721618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30288FAE" w14:textId="7E1AF3FA"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19" w:history="1">
            <w:r w:rsidRPr="008F1A1E">
              <w:rPr>
                <w:rStyle w:val="Hyperlink"/>
                <w:noProof/>
                <w:rtl/>
              </w:rPr>
              <w:t>תת כותרת של המבוא</w:t>
            </w:r>
            <w:r>
              <w:rPr>
                <w:noProof/>
              </w:rPr>
              <w:tab/>
            </w:r>
            <w:r>
              <w:rPr>
                <w:rStyle w:val="Hyperlink"/>
                <w:noProof/>
                <w:rtl/>
              </w:rPr>
              <w:fldChar w:fldCharType="begin"/>
            </w:r>
            <w:r>
              <w:rPr>
                <w:noProof/>
              </w:rPr>
              <w:instrText xml:space="preserve"> PAGEREF _Toc236721619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1F1CD124" w14:textId="31CA64D7"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20" w:history="1">
            <w:r w:rsidRPr="008F1A1E">
              <w:rPr>
                <w:rStyle w:val="Hyperlink"/>
                <w:noProof/>
                <w:rtl/>
              </w:rPr>
              <w:t>סקירת ספרות</w:t>
            </w:r>
            <w:r>
              <w:rPr>
                <w:noProof/>
              </w:rPr>
              <w:tab/>
            </w:r>
            <w:r>
              <w:rPr>
                <w:rStyle w:val="Hyperlink"/>
                <w:noProof/>
                <w:rtl/>
              </w:rPr>
              <w:fldChar w:fldCharType="begin"/>
            </w:r>
            <w:r>
              <w:rPr>
                <w:noProof/>
              </w:rPr>
              <w:instrText xml:space="preserve"> PAGEREF _Toc236721620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2F901E22" w14:textId="46FBB2D1"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21" w:history="1">
            <w:r w:rsidRPr="008F1A1E">
              <w:rPr>
                <w:rStyle w:val="Hyperlink"/>
                <w:noProof/>
                <w:rtl/>
              </w:rPr>
              <w:t>תת כותרת של של סקירת ספרות</w:t>
            </w:r>
            <w:r>
              <w:rPr>
                <w:noProof/>
              </w:rPr>
              <w:tab/>
            </w:r>
            <w:r>
              <w:rPr>
                <w:rStyle w:val="Hyperlink"/>
                <w:noProof/>
                <w:rtl/>
              </w:rPr>
              <w:fldChar w:fldCharType="begin"/>
            </w:r>
            <w:r>
              <w:rPr>
                <w:noProof/>
              </w:rPr>
              <w:instrText xml:space="preserve"> PAGEREF _Toc236721621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46E0BFD7" w14:textId="630E23FB"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22" w:history="1">
            <w:r w:rsidRPr="008F1A1E">
              <w:rPr>
                <w:rStyle w:val="Hyperlink"/>
                <w:noProof/>
                <w:rtl/>
              </w:rPr>
              <w:t>תת כותרת של המבוא</w:t>
            </w:r>
            <w:r>
              <w:rPr>
                <w:noProof/>
              </w:rPr>
              <w:tab/>
            </w:r>
            <w:r>
              <w:rPr>
                <w:rStyle w:val="Hyperlink"/>
                <w:noProof/>
                <w:rtl/>
              </w:rPr>
              <w:fldChar w:fldCharType="begin"/>
            </w:r>
            <w:r>
              <w:rPr>
                <w:noProof/>
              </w:rPr>
              <w:instrText xml:space="preserve"> PAGEREF _Toc236721622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372C6B81" w14:textId="4D25AC0A"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23" w:history="1">
            <w:r w:rsidRPr="008F1A1E">
              <w:rPr>
                <w:rStyle w:val="Hyperlink"/>
                <w:noProof/>
                <w:rtl/>
              </w:rPr>
              <w:t>שאלות המחקר</w:t>
            </w:r>
            <w:r>
              <w:rPr>
                <w:noProof/>
              </w:rPr>
              <w:tab/>
            </w:r>
            <w:r>
              <w:rPr>
                <w:rStyle w:val="Hyperlink"/>
                <w:noProof/>
                <w:rtl/>
              </w:rPr>
              <w:fldChar w:fldCharType="begin"/>
            </w:r>
            <w:r>
              <w:rPr>
                <w:noProof/>
              </w:rPr>
              <w:instrText xml:space="preserve"> PAGEREF _Toc236721623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3E2509E2" w14:textId="49E4348E"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24" w:history="1">
            <w:r w:rsidRPr="008F1A1E">
              <w:rPr>
                <w:rStyle w:val="Hyperlink"/>
                <w:noProof/>
                <w:rtl/>
              </w:rPr>
              <w:t>שיטת המחקר</w:t>
            </w:r>
            <w:r>
              <w:rPr>
                <w:noProof/>
              </w:rPr>
              <w:tab/>
            </w:r>
            <w:r>
              <w:rPr>
                <w:rStyle w:val="Hyperlink"/>
                <w:noProof/>
                <w:rtl/>
              </w:rPr>
              <w:fldChar w:fldCharType="begin"/>
            </w:r>
            <w:r>
              <w:rPr>
                <w:noProof/>
              </w:rPr>
              <w:instrText xml:space="preserve"> PAGEREF _Toc236721624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2DF8EAA9" w14:textId="53F9A140"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25" w:history="1">
            <w:r w:rsidRPr="008F1A1E">
              <w:rPr>
                <w:rStyle w:val="Hyperlink"/>
                <w:noProof/>
                <w:rtl/>
              </w:rPr>
              <w:t>אוכלוסיית המחקר</w:t>
            </w:r>
            <w:r>
              <w:rPr>
                <w:noProof/>
              </w:rPr>
              <w:tab/>
            </w:r>
            <w:r>
              <w:rPr>
                <w:rStyle w:val="Hyperlink"/>
                <w:noProof/>
                <w:rtl/>
              </w:rPr>
              <w:fldChar w:fldCharType="begin"/>
            </w:r>
            <w:r>
              <w:rPr>
                <w:noProof/>
              </w:rPr>
              <w:instrText xml:space="preserve"> PAGEREF _Toc236721625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414F1AC7" w14:textId="201642D3"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26" w:history="1">
            <w:r w:rsidRPr="008F1A1E">
              <w:rPr>
                <w:rStyle w:val="Hyperlink"/>
                <w:noProof/>
                <w:rtl/>
              </w:rPr>
              <w:t>כלי  המחקר</w:t>
            </w:r>
            <w:r>
              <w:rPr>
                <w:noProof/>
              </w:rPr>
              <w:tab/>
            </w:r>
            <w:r>
              <w:rPr>
                <w:rStyle w:val="Hyperlink"/>
                <w:noProof/>
                <w:rtl/>
              </w:rPr>
              <w:fldChar w:fldCharType="begin"/>
            </w:r>
            <w:r>
              <w:rPr>
                <w:noProof/>
              </w:rPr>
              <w:instrText xml:space="preserve"> PAGEREF _Toc236721626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12C325C7" w14:textId="6E3A8C42"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27" w:history="1">
            <w:r w:rsidRPr="008F1A1E">
              <w:rPr>
                <w:rStyle w:val="Hyperlink"/>
                <w:noProof/>
                <w:rtl/>
              </w:rPr>
              <w:t>ניתוחים סטטיסטים</w:t>
            </w:r>
            <w:r>
              <w:rPr>
                <w:noProof/>
              </w:rPr>
              <w:tab/>
            </w:r>
            <w:r>
              <w:rPr>
                <w:rStyle w:val="Hyperlink"/>
                <w:noProof/>
                <w:rtl/>
              </w:rPr>
              <w:fldChar w:fldCharType="begin"/>
            </w:r>
            <w:r>
              <w:rPr>
                <w:noProof/>
              </w:rPr>
              <w:instrText xml:space="preserve"> PAGEREF _Toc236721627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638D02D5" w14:textId="10D87EBD"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28" w:history="1">
            <w:r w:rsidRPr="008F1A1E">
              <w:rPr>
                <w:rStyle w:val="Hyperlink"/>
                <w:noProof/>
                <w:rtl/>
              </w:rPr>
              <w:t>ממצאים</w:t>
            </w:r>
            <w:r>
              <w:rPr>
                <w:noProof/>
              </w:rPr>
              <w:tab/>
            </w:r>
            <w:r>
              <w:rPr>
                <w:rStyle w:val="Hyperlink"/>
                <w:noProof/>
                <w:rtl/>
              </w:rPr>
              <w:fldChar w:fldCharType="begin"/>
            </w:r>
            <w:r>
              <w:rPr>
                <w:noProof/>
              </w:rPr>
              <w:instrText xml:space="preserve"> PAGEREF _Toc236721628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33B2806B" w14:textId="2120496A"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29" w:history="1">
            <w:r w:rsidRPr="008F1A1E">
              <w:rPr>
                <w:rStyle w:val="Hyperlink"/>
                <w:noProof/>
                <w:rtl/>
              </w:rPr>
              <w:t>אוכלוסיית המחקר</w:t>
            </w:r>
            <w:r>
              <w:rPr>
                <w:noProof/>
              </w:rPr>
              <w:tab/>
            </w:r>
            <w:r>
              <w:rPr>
                <w:rStyle w:val="Hyperlink"/>
                <w:noProof/>
                <w:rtl/>
              </w:rPr>
              <w:fldChar w:fldCharType="begin"/>
            </w:r>
            <w:r>
              <w:rPr>
                <w:noProof/>
              </w:rPr>
              <w:instrText xml:space="preserve"> PAGEREF _Toc236721629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61F556F2" w14:textId="04EAC4F4"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30" w:history="1">
            <w:r w:rsidRPr="008F1A1E">
              <w:rPr>
                <w:rStyle w:val="Hyperlink"/>
                <w:noProof/>
                <w:rtl/>
              </w:rPr>
              <w:t>דיון</w:t>
            </w:r>
            <w:r>
              <w:rPr>
                <w:noProof/>
              </w:rPr>
              <w:tab/>
            </w:r>
            <w:r>
              <w:rPr>
                <w:rStyle w:val="Hyperlink"/>
                <w:noProof/>
                <w:rtl/>
              </w:rPr>
              <w:fldChar w:fldCharType="begin"/>
            </w:r>
            <w:r>
              <w:rPr>
                <w:noProof/>
              </w:rPr>
              <w:instrText xml:space="preserve"> PAGEREF _Toc236721630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1C156619" w14:textId="34598820"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31" w:history="1">
            <w:r w:rsidRPr="008F1A1E">
              <w:rPr>
                <w:rStyle w:val="Hyperlink"/>
                <w:noProof/>
                <w:rtl/>
              </w:rPr>
              <w:t>רקע למחקר</w:t>
            </w:r>
            <w:r>
              <w:rPr>
                <w:noProof/>
              </w:rPr>
              <w:tab/>
            </w:r>
            <w:r>
              <w:rPr>
                <w:rStyle w:val="Hyperlink"/>
                <w:noProof/>
                <w:rtl/>
              </w:rPr>
              <w:fldChar w:fldCharType="begin"/>
            </w:r>
            <w:r>
              <w:rPr>
                <w:noProof/>
              </w:rPr>
              <w:instrText xml:space="preserve"> PAGEREF _Toc236721631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7BFA7AEF" w14:textId="3BDE92B6"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32" w:history="1">
            <w:r w:rsidRPr="008F1A1E">
              <w:rPr>
                <w:rStyle w:val="Hyperlink"/>
                <w:noProof/>
                <w:rtl/>
              </w:rPr>
              <w:t>סוגיית המזון</w:t>
            </w:r>
            <w:r>
              <w:rPr>
                <w:noProof/>
              </w:rPr>
              <w:tab/>
            </w:r>
            <w:r>
              <w:rPr>
                <w:rStyle w:val="Hyperlink"/>
                <w:noProof/>
                <w:rtl/>
              </w:rPr>
              <w:fldChar w:fldCharType="begin"/>
            </w:r>
            <w:r>
              <w:rPr>
                <w:noProof/>
              </w:rPr>
              <w:instrText xml:space="preserve"> PAGEREF _Toc236721632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534B2952" w14:textId="2F176B9C"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33" w:history="1">
            <w:r w:rsidRPr="008F1A1E">
              <w:rPr>
                <w:rStyle w:val="Hyperlink"/>
                <w:noProof/>
                <w:rtl/>
              </w:rPr>
              <w:t>שביעות רצון מטיפול רפואי</w:t>
            </w:r>
            <w:r>
              <w:rPr>
                <w:noProof/>
              </w:rPr>
              <w:tab/>
            </w:r>
            <w:r>
              <w:rPr>
                <w:rStyle w:val="Hyperlink"/>
                <w:noProof/>
                <w:rtl/>
              </w:rPr>
              <w:fldChar w:fldCharType="begin"/>
            </w:r>
            <w:r>
              <w:rPr>
                <w:noProof/>
              </w:rPr>
              <w:instrText xml:space="preserve"> PAGEREF _Toc236721633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057D0A6E" w14:textId="6C1478A1"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34" w:history="1">
            <w:r w:rsidRPr="008F1A1E">
              <w:rPr>
                <w:rStyle w:val="Hyperlink"/>
                <w:noProof/>
                <w:rtl/>
              </w:rPr>
              <w:t>עמדות הנשים בנושא תנאי כליאה</w:t>
            </w:r>
            <w:r>
              <w:rPr>
                <w:noProof/>
              </w:rPr>
              <w:tab/>
            </w:r>
            <w:r>
              <w:rPr>
                <w:rStyle w:val="Hyperlink"/>
                <w:noProof/>
                <w:rtl/>
              </w:rPr>
              <w:fldChar w:fldCharType="begin"/>
            </w:r>
            <w:r>
              <w:rPr>
                <w:noProof/>
              </w:rPr>
              <w:instrText xml:space="preserve"> PAGEREF _Toc236721634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2905D70F" w14:textId="763FE765"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35" w:history="1">
            <w:r w:rsidRPr="008F1A1E">
              <w:rPr>
                <w:rStyle w:val="Hyperlink"/>
                <w:noProof/>
                <w:rtl/>
              </w:rPr>
              <w:t>מגבלות המחקר</w:t>
            </w:r>
            <w:r>
              <w:rPr>
                <w:noProof/>
              </w:rPr>
              <w:tab/>
            </w:r>
            <w:r>
              <w:rPr>
                <w:rStyle w:val="Hyperlink"/>
                <w:noProof/>
                <w:rtl/>
              </w:rPr>
              <w:fldChar w:fldCharType="begin"/>
            </w:r>
            <w:r>
              <w:rPr>
                <w:noProof/>
              </w:rPr>
              <w:instrText xml:space="preserve"> PAGEREF _Toc236721635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60181DA9" w14:textId="01027251" w:rsidR="00127B5D" w:rsidRDefault="00127B5D" w:rsidP="00127B5D">
          <w:pPr>
            <w:pStyle w:val="TOC2"/>
            <w:tabs>
              <w:tab w:val="right" w:leader="dot" w:pos="9016"/>
            </w:tabs>
            <w:rPr>
              <w:rFonts w:asciiTheme="minorHAnsi" w:eastAsiaTheme="minorEastAsia" w:hAnsiTheme="minorHAnsi" w:cstheme="minorBidi"/>
              <w:noProof/>
              <w:kern w:val="2"/>
              <w14:ligatures w14:val="standardContextual"/>
            </w:rPr>
          </w:pPr>
          <w:hyperlink w:anchor="_Toc236721636" w:history="1">
            <w:r w:rsidRPr="008F1A1E">
              <w:rPr>
                <w:rStyle w:val="Hyperlink"/>
                <w:noProof/>
                <w:rtl/>
              </w:rPr>
              <w:t>רקע למחקר</w:t>
            </w:r>
            <w:r>
              <w:rPr>
                <w:noProof/>
              </w:rPr>
              <w:tab/>
            </w:r>
            <w:r>
              <w:rPr>
                <w:rStyle w:val="Hyperlink"/>
                <w:noProof/>
                <w:rtl/>
              </w:rPr>
              <w:fldChar w:fldCharType="begin"/>
            </w:r>
            <w:r>
              <w:rPr>
                <w:noProof/>
              </w:rPr>
              <w:instrText xml:space="preserve"> PAGEREF _Toc236721636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1836B39D" w14:textId="4BC0BC10"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37" w:history="1">
            <w:r w:rsidRPr="008F1A1E">
              <w:rPr>
                <w:rStyle w:val="Hyperlink"/>
                <w:noProof/>
                <w:rtl/>
              </w:rPr>
              <w:t>סיכום</w:t>
            </w:r>
            <w:r>
              <w:rPr>
                <w:noProof/>
              </w:rPr>
              <w:tab/>
            </w:r>
            <w:r>
              <w:rPr>
                <w:rStyle w:val="Hyperlink"/>
                <w:noProof/>
                <w:rtl/>
              </w:rPr>
              <w:fldChar w:fldCharType="begin"/>
            </w:r>
            <w:r>
              <w:rPr>
                <w:noProof/>
              </w:rPr>
              <w:instrText xml:space="preserve"> PAGEREF _Toc236721637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05955200" w14:textId="3C8B12F1"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38" w:history="1">
            <w:r w:rsidRPr="008F1A1E">
              <w:rPr>
                <w:rStyle w:val="Hyperlink"/>
                <w:noProof/>
                <w:rtl/>
              </w:rPr>
              <w:t>גילוי נאות</w:t>
            </w:r>
            <w:r>
              <w:rPr>
                <w:noProof/>
              </w:rPr>
              <w:tab/>
            </w:r>
            <w:r>
              <w:rPr>
                <w:rStyle w:val="Hyperlink"/>
                <w:noProof/>
                <w:rtl/>
              </w:rPr>
              <w:fldChar w:fldCharType="begin"/>
            </w:r>
            <w:r>
              <w:rPr>
                <w:noProof/>
              </w:rPr>
              <w:instrText xml:space="preserve"> PAGEREF _Toc236721638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4C7773CF" w14:textId="65F914C1"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39" w:history="1">
            <w:r w:rsidRPr="008F1A1E">
              <w:rPr>
                <w:rStyle w:val="Hyperlink"/>
                <w:noProof/>
                <w:rtl/>
              </w:rPr>
              <w:t>ביבליוגרפיה</w:t>
            </w:r>
            <w:r>
              <w:rPr>
                <w:noProof/>
              </w:rPr>
              <w:tab/>
            </w:r>
            <w:r>
              <w:rPr>
                <w:rStyle w:val="Hyperlink"/>
                <w:noProof/>
                <w:rtl/>
              </w:rPr>
              <w:fldChar w:fldCharType="begin"/>
            </w:r>
            <w:r>
              <w:rPr>
                <w:noProof/>
              </w:rPr>
              <w:instrText xml:space="preserve"> PAGEREF _Toc236721639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1DA2B3AD" w14:textId="0FE1C56F"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40" w:history="1">
            <w:r w:rsidRPr="008F1A1E">
              <w:rPr>
                <w:rStyle w:val="Hyperlink"/>
                <w:noProof/>
                <w:rtl/>
              </w:rPr>
              <w:t>נספחים</w:t>
            </w:r>
            <w:r>
              <w:rPr>
                <w:noProof/>
              </w:rPr>
              <w:tab/>
            </w:r>
            <w:r>
              <w:rPr>
                <w:rStyle w:val="Hyperlink"/>
                <w:noProof/>
                <w:rtl/>
              </w:rPr>
              <w:fldChar w:fldCharType="begin"/>
            </w:r>
            <w:r>
              <w:rPr>
                <w:noProof/>
              </w:rPr>
              <w:instrText xml:space="preserve"> PAGEREF _Toc236721640 \h </w:instrText>
            </w:r>
            <w:r>
              <w:rPr>
                <w:rStyle w:val="Hyperlink"/>
                <w:noProof/>
                <w:rtl/>
              </w:rPr>
            </w:r>
            <w:r>
              <w:rPr>
                <w:rStyle w:val="Hyperlink"/>
                <w:noProof/>
                <w:rtl/>
              </w:rPr>
              <w:fldChar w:fldCharType="separate"/>
            </w:r>
            <w:r>
              <w:rPr>
                <w:noProof/>
              </w:rPr>
              <w:t>10</w:t>
            </w:r>
            <w:r>
              <w:rPr>
                <w:rStyle w:val="Hyperlink"/>
                <w:noProof/>
                <w:rtl/>
              </w:rPr>
              <w:fldChar w:fldCharType="end"/>
            </w:r>
          </w:hyperlink>
        </w:p>
        <w:p w14:paraId="05D3C7C5" w14:textId="7040227D"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41" w:history="1">
            <w:r w:rsidRPr="008F1A1E">
              <w:rPr>
                <w:rStyle w:val="Hyperlink"/>
                <w:noProof/>
                <w:rtl/>
              </w:rPr>
              <w:t>נספח א'</w:t>
            </w:r>
            <w:r>
              <w:rPr>
                <w:noProof/>
              </w:rPr>
              <w:tab/>
            </w:r>
            <w:r>
              <w:rPr>
                <w:rStyle w:val="Hyperlink"/>
                <w:noProof/>
                <w:rtl/>
              </w:rPr>
              <w:fldChar w:fldCharType="begin"/>
            </w:r>
            <w:r>
              <w:rPr>
                <w:noProof/>
              </w:rPr>
              <w:instrText xml:space="preserve"> PAGEREF _Toc236721641 \h </w:instrText>
            </w:r>
            <w:r>
              <w:rPr>
                <w:rStyle w:val="Hyperlink"/>
                <w:noProof/>
                <w:rtl/>
              </w:rPr>
            </w:r>
            <w:r>
              <w:rPr>
                <w:rStyle w:val="Hyperlink"/>
                <w:noProof/>
                <w:rtl/>
              </w:rPr>
              <w:fldChar w:fldCharType="separate"/>
            </w:r>
            <w:r>
              <w:rPr>
                <w:noProof/>
              </w:rPr>
              <w:t>10</w:t>
            </w:r>
            <w:r>
              <w:rPr>
                <w:rStyle w:val="Hyperlink"/>
                <w:noProof/>
                <w:rtl/>
              </w:rPr>
              <w:fldChar w:fldCharType="end"/>
            </w:r>
          </w:hyperlink>
        </w:p>
        <w:p w14:paraId="28A394D4" w14:textId="027AD576" w:rsidR="00127B5D" w:rsidRDefault="00127B5D" w:rsidP="00127B5D">
          <w:pPr>
            <w:pStyle w:val="TOC1"/>
            <w:tabs>
              <w:tab w:val="right" w:leader="dot" w:pos="9016"/>
            </w:tabs>
            <w:rPr>
              <w:rFonts w:asciiTheme="minorHAnsi" w:eastAsiaTheme="minorEastAsia" w:hAnsiTheme="minorHAnsi" w:cstheme="minorBidi"/>
              <w:noProof/>
              <w:kern w:val="2"/>
              <w14:ligatures w14:val="standardContextual"/>
            </w:rPr>
          </w:pPr>
          <w:hyperlink w:anchor="_Toc236721642" w:history="1">
            <w:r w:rsidRPr="008F1A1E">
              <w:rPr>
                <w:rStyle w:val="Hyperlink"/>
                <w:noProof/>
                <w:rtl/>
              </w:rPr>
              <w:t>נספח ב'</w:t>
            </w:r>
            <w:r>
              <w:rPr>
                <w:noProof/>
              </w:rPr>
              <w:tab/>
            </w:r>
            <w:r>
              <w:rPr>
                <w:rStyle w:val="Hyperlink"/>
                <w:noProof/>
                <w:rtl/>
              </w:rPr>
              <w:fldChar w:fldCharType="begin"/>
            </w:r>
            <w:r>
              <w:rPr>
                <w:noProof/>
              </w:rPr>
              <w:instrText xml:space="preserve"> PAGEREF _Toc236721642 \h </w:instrText>
            </w:r>
            <w:r>
              <w:rPr>
                <w:rStyle w:val="Hyperlink"/>
                <w:noProof/>
                <w:rtl/>
              </w:rPr>
            </w:r>
            <w:r>
              <w:rPr>
                <w:rStyle w:val="Hyperlink"/>
                <w:noProof/>
                <w:rtl/>
              </w:rPr>
              <w:fldChar w:fldCharType="separate"/>
            </w:r>
            <w:r>
              <w:rPr>
                <w:noProof/>
              </w:rPr>
              <w:t>10</w:t>
            </w:r>
            <w:r>
              <w:rPr>
                <w:rStyle w:val="Hyperlink"/>
                <w:noProof/>
                <w:rtl/>
              </w:rPr>
              <w:fldChar w:fldCharType="end"/>
            </w:r>
          </w:hyperlink>
        </w:p>
        <w:p w14:paraId="6313BD1C" w14:textId="26914EB3" w:rsidR="00080DD8" w:rsidRPr="00FD2CA7" w:rsidRDefault="00000000" w:rsidP="00127B5D">
          <w:r w:rsidRPr="00FD2CA7">
            <w:fldChar w:fldCharType="end"/>
          </w:r>
        </w:p>
      </w:sdtContent>
    </w:sdt>
    <w:p>
      <w:pPr>
        <w:bidi/>
        <w:ind w:firstLine="0"/>
      </w:pPr>
      <w:r>
        <w:br w:type="page"/>
      </w:r>
    </w:p>
    <w:p>
      <w:pPr>
        <w:pStyle w:val="Heading1"/>
        <w:bidi/>
        <w:ind w:firstLine="0"/>
        <w:jc w:val="center"/>
      </w:pPr>
      <w:r>
        <w:rPr>
          <w:rFonts w:ascii="Times New Roman" w:hAnsi="Times New Roman" w:cs="David"/>
          <w:b w:val="1"/>
          <w:bCs w:val="1"/>
          <w:sz w:val="28"/>
          <w:szCs w:val="28"/>
          <w:rtl w:val="1"/>
        </w:rPr>
        <w:t>מבוא</w:t>
      </w:r>
    </w:p>
    <w:p>
      <w:pPr>
        <w:bidi/>
        <w:spacing w:line="480" w:lineRule="auto"/>
        <w:ind w:firstLine="482"/>
        <w:jc w:val="both"/>
      </w:pPr>
      <w:r>
        <w:rPr>
          <w:rFonts w:ascii="Times New Roman" w:hAnsi="Times New Roman" w:cs="David"/>
          <w:b w:val="0"/>
          <w:bCs w:val="0"/>
          <w:sz w:val="24"/>
          <w:szCs w:val="24"/>
          <w:rtl w:val="1"/>
        </w:rPr>
        <w:t>בית הסוהר מחזיק בני אדם בכוח, ובכך מסתיים ההסבר הפשוט לסדר שנשמר בתוכו. שגרת החיים באגף אינה מתקיימת בזכות הסורגים בלבד, אלא גם בזכות מידה מסוימת של היענות מצד הכלואים עצמם. ספארקס ובוטומס (Sparks &amp; Bottoms, 1995) הראו כי מערכת כליאה הנשענת על כפייה בלבד משלמת על כך במטבע של אלימות ואי-יציבות, וכי האופן שבו מופעלת הסמכות, ולא עצם הפעלתה, הוא שקובע אם הכלואים יראו בה סמכות מוצדקת. הלגיטימיות במובן הזה אינה תכונה של החוק ואינה נקבעת בפקודה. היא שיפוט מתמשך שהאסיר עורך ביחס לסוהר שעומד מולו, יום אחר יום.</w:t>
      </w:r>
    </w:p>
    <w:p>
      <w:pPr>
        <w:bidi/>
        <w:spacing w:line="480" w:lineRule="auto"/>
        <w:ind w:firstLine="482"/>
        <w:jc w:val="both"/>
      </w:pPr>
      <w:r>
        <w:rPr>
          <w:rFonts w:ascii="Times New Roman" w:hAnsi="Times New Roman" w:cs="David"/>
          <w:b w:val="0"/>
          <w:bCs w:val="0"/>
          <w:sz w:val="24"/>
          <w:szCs w:val="24"/>
          <w:rtl w:val="1"/>
        </w:rPr>
        <w:t>הסוגיה נבחנה בישראל לאחרונה בהיקף רחב. סקר שנערך בקרב 3,790 עצורים וכלואים פליליים בסוף שנת 2021 מצא כי מדד הלגיטימיות, המורכב משלושה היגדים על היכולת לפנות לסוהר בעת מצוקה, על יחס של כבוד ועל הטיפול בבקשות, קיבל ממוצע של 4.23 בסולם של חמש דרגות, גבוה מכל מדד אחר שנבחן באותו סקר למעט הקשר עם משפחה וחברים (ועקנין, 2024). לצד הממצא החיובי הזה עלה ממצא מורכב יותר. הלגיטימיות ממתנת את הקשר בין שביעות הרצון מתנאי המחיה ובין שביעות הרצון מפעילויות החינוך, הטיפול והשיקום, כך שככל שהלגיטימיות הנתפסת גבוהה יותר מתחזק הקשר בין השניים (ועקנין, 2024). שיפור בתנאים הפיזיים, אם כן, אינו מתורגם מאליו לשיתוף פעולה שיקומי. הוא נזקק לתיווך של יחס.</w:t>
      </w:r>
    </w:p>
    <w:p>
      <w:pPr>
        <w:bidi/>
        <w:spacing w:line="480" w:lineRule="auto"/>
        <w:ind w:firstLine="482"/>
        <w:jc w:val="both"/>
      </w:pPr>
      <w:r>
        <w:rPr>
          <w:rFonts w:ascii="Times New Roman" w:hAnsi="Times New Roman" w:cs="David"/>
          <w:b w:val="0"/>
          <w:bCs w:val="0"/>
          <w:sz w:val="24"/>
          <w:szCs w:val="24"/>
          <w:rtl w:val="1"/>
        </w:rPr>
        <w:t>רוב הידע הקיים מתאר את הלגיטימיות כתוצר של מה שהסגל עושה ושל התנאים שבהם הוא פועל (Molleman &amp; Leeuw, 2012). פחות תשומת לב הוקדשה לשאלה מה עושה הזמן עצמו. סקירה של הספרות האמפירית בנושא הוגנות פרוצדורלית ולגיטימיות בכליאה מצאה כי משך השהייה מופיע במרבית המחקרים כמשתנה בקרה בלבד, ולא כמשתנה מסביר שנבחן לגופו (Ryan &amp; Bergin, 2022). כלוא ששוהה באגף שלושה שבועות וכלוא ששוהה בו ארבע שנים חולקים את אותו מרחב, את אותם נהלים ולעיתים גם את אותו סוהר, אך אין זה מובן מאליו שהם שופטים אותם באותה דרך.</w:t>
      </w:r>
    </w:p>
    <w:p>
      <w:pPr>
        <w:bidi/>
        <w:spacing w:line="480" w:lineRule="auto"/>
        <w:ind w:firstLine="482"/>
        <w:jc w:val="both"/>
      </w:pPr>
      <w:r>
        <w:rPr>
          <w:rFonts w:ascii="Times New Roman" w:hAnsi="Times New Roman" w:cs="David"/>
          <w:b w:val="0"/>
          <w:bCs w:val="0"/>
          <w:sz w:val="24"/>
          <w:szCs w:val="24"/>
          <w:rtl w:val="1"/>
        </w:rPr>
        <w:t>העבודה בוחנת באיזו מידה קיים קשר בין משך השהייה באגף ובין תפיסת ההוגנות והלגיטימיות של סגל הכליאה בקרב אסירים פליליים בישראל. המשתנה הבלתי תלוי הוא משך השהייה באגף, והמשתנה התלוי הוא תפיסת ההוגנות והלגיטימיות של הסגל. הבחירה באגף ולא בבית הסוהר כיחידת ההתייחסות אינה טכנית. האגף הוא המרחב שבו מתרחשת רוב האינטראקציה היומיומית בין הכלוא לסוהר, ובו נקבעים בפועל סדרי הגישה למקלחת, לחצר, לטלפון ולבקשות. מעבר בין אגפים משמעו לעיתים קרובות היכרות מחדש עם סגל אחר ועם נורמות אחרות, ולכן הוותק באגף מדויק יותר מן הוותק במאסר לצורך השאלה הנבחנת כאן.</w:t>
      </w:r>
    </w:p>
    <w:p>
      <w:pPr>
        <w:bidi/>
        <w:ind w:firstLine="0"/>
      </w:pPr>
      <w:r>
        <w:br w:type="page"/>
      </w:r>
    </w:p>
    <w:p>
      <w:pPr>
        <w:pStyle w:val="Heading1"/>
        <w:bidi/>
        <w:ind w:firstLine="0"/>
        <w:jc w:val="center"/>
      </w:pPr>
      <w:r>
        <w:rPr>
          <w:rFonts w:ascii="Times New Roman" w:hAnsi="Times New Roman" w:cs="David"/>
          <w:b w:val="1"/>
          <w:bCs w:val="1"/>
          <w:sz w:val="28"/>
          <w:szCs w:val="28"/>
          <w:rtl w:val="1"/>
        </w:rPr>
        <w:t>סקירת ספרות</w:t>
      </w:r>
    </w:p>
    <w:p>
      <w:pPr>
        <w:pStyle w:val="Heading2"/>
        <w:bidi/>
        <w:spacing w:before="240"/>
        <w:ind w:firstLine="0"/>
        <w:jc w:val="right"/>
      </w:pPr>
      <w:r>
        <w:rPr>
          <w:rFonts w:ascii="Times New Roman" w:hAnsi="Times New Roman" w:cs="David"/>
          <w:b w:val="1"/>
          <w:bCs w:val="1"/>
          <w:sz w:val="24"/>
          <w:szCs w:val="24"/>
          <w:rtl w:val="1"/>
        </w:rPr>
        <w:t>תנאי כליאה: מן המדד הפיזי אל החוויה הנתפסת</w:t>
      </w:r>
    </w:p>
    <w:p>
      <w:pPr>
        <w:bidi/>
        <w:spacing w:line="480" w:lineRule="auto"/>
        <w:ind w:firstLine="482"/>
        <w:jc w:val="both"/>
      </w:pPr>
      <w:r>
        <w:rPr>
          <w:rFonts w:ascii="Times New Roman" w:hAnsi="Times New Roman" w:cs="David"/>
          <w:b w:val="0"/>
          <w:bCs w:val="0"/>
          <w:sz w:val="24"/>
          <w:szCs w:val="24"/>
          <w:rtl w:val="1"/>
        </w:rPr>
        <w:t>הדיון המחקרי בתנאי הכליאה נפתח שנים רבות סביב שאלות של מדידה פיזית: שטח מחיה לאסיר, יחס בין תקן הכליאה ובין מספר הכלואים בפועל, רמות רעש, טמפרטורה ותברואה (דוידסקו וולק, 2015). המסגרת התאורטית שהניעה את הדיון הזה היא מודל המחסור, שלפיו התנהגות האסיר היא תוצאה ישירה של סביבת הכליאה ושל "כאבי המאסר" הכרוכים בה, ובהם המחסור בחופש תנועה, ברכוש וביחסים אישיים (Sykes, 1958). ההיגיון פשוט: תנאים קשים מייצרים דחק, ודחק מייצר אלימות והפרות משמעת.</w:t>
      </w:r>
    </w:p>
    <w:p>
      <w:pPr>
        <w:bidi/>
        <w:spacing w:line="480" w:lineRule="auto"/>
        <w:ind w:firstLine="482"/>
        <w:jc w:val="both"/>
      </w:pPr>
      <w:r>
        <w:rPr>
          <w:rFonts w:ascii="Times New Roman" w:hAnsi="Times New Roman" w:cs="David"/>
          <w:b w:val="0"/>
          <w:bCs w:val="0"/>
          <w:sz w:val="24"/>
          <w:szCs w:val="24"/>
          <w:rtl w:val="1"/>
        </w:rPr>
        <w:t>הממצאים האמפיריים סירבו להתיישר לפי ההיגיון הזה. סקירה של המחקרים שבחנו את הקשר בין צפיפות להתנהגות שלילית של כלואים העלתה תמונה מפוצלת, שבה חלק מן המחקרים מדווחים על קשר חיובי, חלק על קשר שלילי וחלק על היעדר קשר (דוידסקו וולק, 2015). מחקרי-על שסיכמו עשרות מחקרים מצאו קשר חלש בלבד, שמתחזק בעיקר בקרב כלואים צעירים. גם בבחינה שנערכה בשירות בתי הסוהר לא נמצא קשר בין צפיפות חברתית או מרחבית ובין שכיחות אירועי אלימות, אך כאשר שוקלל המרחב האישי יחד עם משך הזמן שהאסיר שוהה מחוץ לתא, נצפו יותר אירועים אלימים (דוידסקו וולק, 2015). הממצא האחרון מעניין לענייננו במיוחד, משום שהוא מכניס את ממד הזמן אל תוך משוואה שהייתה עד אז מרחבית בלבד.</w:t>
      </w:r>
    </w:p>
    <w:p>
      <w:pPr>
        <w:bidi/>
        <w:spacing w:line="480" w:lineRule="auto"/>
        <w:ind w:firstLine="482"/>
        <w:jc w:val="both"/>
      </w:pPr>
      <w:r>
        <w:rPr>
          <w:rFonts w:ascii="Times New Roman" w:hAnsi="Times New Roman" w:cs="David"/>
          <w:b w:val="0"/>
          <w:bCs w:val="0"/>
          <w:sz w:val="24"/>
          <w:szCs w:val="24"/>
          <w:rtl w:val="1"/>
        </w:rPr>
        <w:t>הפער בין הציפייה התאורטית ובין הממצאים הוליד תפנית מושגית. במקום למדוד את בית הסוהר במטרים, החלו חוקרים למדוד אותו דרך עיני מי שחי בו. המונח אקלים כליאה (prison climate) מבקש לתפוס את האיכות החברתית והרגשית של המקום ולא רק את מאפייניו הפיזיים, והוא נמדד באמצעות שאלוני דיווח עצמי של הכלואים (Bosma et al., 2020). שאלון אקלים הכליאה שפותח בהולנד כולל ממדים של אוטונומיה, ביטחון, קשר עם העולם שבחוץ, פעילות בעלת משמעות ויחסים עם הסגל, והוא הראה מהימנות ותוקף מבנה בהעברות במתקנים שונים (Bosma et al., 2020). באמצעות הכלי הזה נמצא כי אקלים הכליאה קשור לרווחתם הנפשית של הכלואים מעבר למאפיינים האישיים שהם מביאים איתם אל המאסר (Van Ginneken et al., 2019).</w:t>
      </w:r>
    </w:p>
    <w:p>
      <w:pPr>
        <w:bidi/>
        <w:spacing w:line="480" w:lineRule="auto"/>
        <w:ind w:firstLine="482"/>
        <w:jc w:val="both"/>
      </w:pPr>
      <w:r>
        <w:rPr>
          <w:rFonts w:ascii="Times New Roman" w:hAnsi="Times New Roman" w:cs="David"/>
          <w:b w:val="0"/>
          <w:bCs w:val="0"/>
          <w:sz w:val="24"/>
          <w:szCs w:val="24"/>
          <w:rtl w:val="1"/>
        </w:rPr>
        <w:t>שינוי הזווית הזה אינו טכני. הוא מעביר את מרכז הכובד ממה שבית הסוהר הוא אל מה שבית הסוהר נחווה כמותו, ובכך פותח את הדלת לשאלה מי חווה ומתי. אם התנאים אינם עובדה קבועה אלא פרשנות, סביר שהפרשנות משתנה עם הזמן שבו נחשף הפרשן לאותם תנאים.</w:t>
      </w:r>
    </w:p>
    <w:p>
      <w:pPr>
        <w:pStyle w:val="Heading2"/>
        <w:bidi/>
        <w:spacing w:before="240"/>
        <w:ind w:firstLine="0"/>
        <w:jc w:val="right"/>
      </w:pPr>
      <w:r>
        <w:rPr>
          <w:rFonts w:ascii="Times New Roman" w:hAnsi="Times New Roman" w:cs="David"/>
          <w:b w:val="1"/>
          <w:bCs w:val="1"/>
          <w:sz w:val="24"/>
          <w:szCs w:val="24"/>
          <w:rtl w:val="1"/>
        </w:rPr>
        <w:t>לגיטימיות בבית הסוהר: התפתחות מושגית</w:t>
      </w:r>
    </w:p>
    <w:p>
      <w:pPr>
        <w:bidi/>
        <w:spacing w:line="480" w:lineRule="auto"/>
        <w:ind w:firstLine="482"/>
        <w:jc w:val="both"/>
      </w:pPr>
      <w:r>
        <w:rPr>
          <w:rFonts w:ascii="Times New Roman" w:hAnsi="Times New Roman" w:cs="David"/>
          <w:b w:val="0"/>
          <w:bCs w:val="0"/>
          <w:sz w:val="24"/>
          <w:szCs w:val="24"/>
          <w:rtl w:val="1"/>
        </w:rPr>
        <w:t>המושג לגיטימיות חדר לחקר הכליאה מן הסוציולוגיה הפוליטית. ספארקס ובוטומס (Sparks &amp; Bottoms, 1995), שנשענו על עבודת שדה בשני בתי סוהר בריטיים בביטחון מרבי, טענו כי בית הסוהר הוא מקרה קיצון של שאלה כללית: מדוע אנשים מצייתים. הם הבחינו בין ציות הנובע מחישוב עלות ותועלת ובין ציות הנובע מהכרה בכך שהסמכות מוצדקת, וקבעו כי מערכת הנשענת על הראשון בלבד שברירית. לטענתם בתי סוהר סובלים מגירעון לגיטימיות כרוני, משום שהכליאה כפויה מעצם טבעה, אך הלגיטימיות היא בכל זאת עניין של מידה: הכלואים מעניקים או מונעים הכרה בסמכות בהתאם לאופן שבו מופעל הכוח מולם בשגרה.</w:t>
      </w:r>
    </w:p>
    <w:p>
      <w:pPr>
        <w:bidi/>
        <w:spacing w:line="480" w:lineRule="auto"/>
        <w:ind w:firstLine="482"/>
        <w:jc w:val="both"/>
      </w:pPr>
      <w:r>
        <w:rPr>
          <w:rFonts w:ascii="Times New Roman" w:hAnsi="Times New Roman" w:cs="David"/>
          <w:b w:val="0"/>
          <w:bCs w:val="0"/>
          <w:sz w:val="24"/>
          <w:szCs w:val="24"/>
          <w:rtl w:val="1"/>
        </w:rPr>
        <w:t>המנגנון שמאחורי הטענה הזאת שאול מתחום רחב יותר. טיילר (Tyler, 2003) הראה כי רשויות אכיפה זוכות לציות מרצון בעיקר בזכות ההוגנות הנתפסת של ההליכים שהן מפעילות, ולא בזכות תוצאותיהם או בזכות איום הענישה. ארבעה רכיבים חוזרים בספרות הזאת: מתן קול לאדם שההחלטה נוגעת לו, ניטרליות, יחס מכבד ואמון בכוונות הרשות. חלוקה זו עומדת ביסודם של רוב כלי המדידה של הוגנות פרוצדורלית בכליאה. ההבחנה בין הוגנות פרוצדורלית ובין הוגנות חלוקתית חשובה במיוחד לענייננו: הראשונה עוסקת באופן שבו האסיר מקבל את שהוא מקבל, והשנייה בשאלה מה בדיוק הוא מקבל.</w:t>
      </w:r>
    </w:p>
    <w:p>
      <w:pPr>
        <w:bidi/>
        <w:spacing w:line="480" w:lineRule="auto"/>
        <w:ind w:firstLine="482"/>
        <w:jc w:val="both"/>
      </w:pPr>
      <w:r>
        <w:rPr>
          <w:rFonts w:ascii="Times New Roman" w:hAnsi="Times New Roman" w:cs="David"/>
          <w:b w:val="0"/>
          <w:bCs w:val="0"/>
          <w:sz w:val="24"/>
          <w:szCs w:val="24"/>
          <w:rtl w:val="1"/>
        </w:rPr>
        <w:t>ליבלינג ועמיתיה פיתחו את הרעיון לכדי כלי מדידה שיטתי. הגישה שהציעו, המכונה "הביצוע המוסרי" של בית הסוהר, גורסת כי אפשר וצריך למדוד את איכותו של מתקן כליאה בממדים ערכיים ולא רק בממדים תפעוליים, ובהם כבוד, אנושיות, הוגנות, מקצועיות הסגל ואופן הפעלת הסמכות (Liebling, 2011). ממחקר שבחן את הקשר בין האקלים החברתי בבית הסוהר ובין חזרה לפשיעה עלה כי מתקנים שדורגו גבוה יותר בממדים האלה היו קשורים לשיעורי רצידיביזם נמוכים יותר, גם לאחר בקרה על מאפייני אוכלוסיית הכלואים (Auty &amp; Liebling, 2019). הממצא הזה מוציא את הלגיטימיות מגדר סוגיה מוסרית בלבד ומציב אותה כמשתנה בעל השלכות מעשיות על מטרות המערכת.</w:t>
      </w:r>
    </w:p>
    <w:p>
      <w:pPr>
        <w:bidi/>
        <w:spacing w:line="480" w:lineRule="auto"/>
        <w:ind w:firstLine="482"/>
        <w:jc w:val="both"/>
      </w:pPr>
      <w:r>
        <w:rPr>
          <w:rFonts w:ascii="Times New Roman" w:hAnsi="Times New Roman" w:cs="David"/>
          <w:b w:val="0"/>
          <w:bCs w:val="0"/>
          <w:sz w:val="24"/>
          <w:szCs w:val="24"/>
          <w:rtl w:val="1"/>
        </w:rPr>
        <w:t>שרשרת ההשפעה נבדקה גם בתוך כותלי הכלא. מחקר שנערך בשני בתי סוהר בסלובניה מצא כי כלואים שתפסו את הסגל כהוגן מבחינה פרוצדורלית נטו יותר לראות בסמכות הכלא סמכות לגיטימית, והלגיטימיות בתורה ניבאה פחות הפרות משמעת בדיווח עצמי (Reisig &amp; Meško, 2009). כלומר, תפיסת ההוגנות אינה עמדה מנותקת. יש לה תוצאות התנהגותיות מדידות.</w:t>
      </w:r>
    </w:p>
    <w:p>
      <w:pPr>
        <w:pStyle w:val="Heading2"/>
        <w:bidi/>
        <w:spacing w:before="240"/>
        <w:ind w:firstLine="0"/>
        <w:jc w:val="right"/>
      </w:pPr>
      <w:r>
        <w:rPr>
          <w:rFonts w:ascii="Times New Roman" w:hAnsi="Times New Roman" w:cs="David"/>
          <w:b w:val="1"/>
          <w:bCs w:val="1"/>
          <w:sz w:val="24"/>
          <w:szCs w:val="24"/>
          <w:rtl w:val="1"/>
        </w:rPr>
        <w:t>יחסי סוהר-כלוא כמנגנון המרכזי</w:t>
      </w:r>
    </w:p>
    <w:p>
      <w:pPr>
        <w:bidi/>
        <w:spacing w:line="480" w:lineRule="auto"/>
        <w:ind w:firstLine="482"/>
        <w:jc w:val="both"/>
      </w:pPr>
      <w:r>
        <w:rPr>
          <w:rFonts w:ascii="Times New Roman" w:hAnsi="Times New Roman" w:cs="David"/>
          <w:b w:val="0"/>
          <w:bCs w:val="0"/>
          <w:sz w:val="24"/>
          <w:szCs w:val="24"/>
          <w:rtl w:val="1"/>
        </w:rPr>
        <w:t>הסוהר באגף הוא הנקודה שבה המדיניות פוגשת את האדם. ליבלינג (Liebling, 2011) תיארה את עבודת הסוהר כעבודה שכולה הפעלת סמכות דרך יחסים, והבחינה בין שימוש מיטבי בסמכות, שבו הסוהר נוכח, בטוח בעצמו ומעורב, ובין שימוש חסר או עודף בכוח. לדבריה שיפוטי הכלואים על לגיטימיות הסגל עוקבים אחר איכות הפעלת הסמכות ולא אחר הכללים הפורמליים עצמם.</w:t>
      </w:r>
    </w:p>
    <w:p>
      <w:pPr>
        <w:bidi/>
        <w:spacing w:line="480" w:lineRule="auto"/>
        <w:ind w:firstLine="482"/>
        <w:jc w:val="both"/>
      </w:pPr>
      <w:r>
        <w:rPr>
          <w:rFonts w:ascii="Times New Roman" w:hAnsi="Times New Roman" w:cs="David"/>
          <w:b w:val="0"/>
          <w:bCs w:val="0"/>
          <w:sz w:val="24"/>
          <w:szCs w:val="24"/>
          <w:rtl w:val="1"/>
        </w:rPr>
        <w:t>המחקר הכמותי תומך בקו הזה. מחקר רב-רמתי שקישר בין סקר כלואים בהולנד ובין סקר סגל מקביל מצא כי מאפייני הסגל ותפיסותיו מסבירים חלק מן השונות בתנאים שהכלואים מדווחים עליהם, מעבר להבדלים בין המתקנים עצמם (Molleman &amp; Leeuw, 2012). ממצא מקביל עלה במחקר גרמני שבחן אלימות במתקני כליאה לנוער, ולפיו איכות היחסים בין הסגל לכלואים ניבאה התנהגות אלימה מעבר למשתנים מבניים כגון גודל המתקן וצפיפותו (Klatt et al., 2016). מחקר משולב שנערך בקנדה הוסיף את קולם של הכלואים עצמם, ותיאר כיצד הם מבחינים היטב בין סוהרים שנתפסים בעיניהם כהוגנים ובין סוהרים שאינם, ומכיילים את התנהגותם בהתאם (Weinrath &amp; Ricciardelli, 2023). ההבחנה הזאת אינה נלמדת ביום הראשון. היא דורשת היכרות, וההיכרות דורשת זמן.</w:t>
      </w:r>
    </w:p>
    <w:p>
      <w:pPr>
        <w:pStyle w:val="Heading2"/>
        <w:bidi/>
        <w:spacing w:before="240"/>
        <w:ind w:firstLine="0"/>
        <w:jc w:val="right"/>
      </w:pPr>
      <w:r>
        <w:rPr>
          <w:rFonts w:ascii="Times New Roman" w:hAnsi="Times New Roman" w:cs="David"/>
          <w:b w:val="1"/>
          <w:bCs w:val="1"/>
          <w:sz w:val="24"/>
          <w:szCs w:val="24"/>
          <w:rtl w:val="1"/>
        </w:rPr>
        <w:t>משך השהייה: שלוש תשובות מתחרות</w:t>
      </w:r>
    </w:p>
    <w:p>
      <w:pPr>
        <w:bidi/>
        <w:spacing w:line="480" w:lineRule="auto"/>
        <w:ind w:firstLine="482"/>
        <w:jc w:val="both"/>
      </w:pPr>
      <w:r>
        <w:rPr>
          <w:rFonts w:ascii="Times New Roman" w:hAnsi="Times New Roman" w:cs="David"/>
          <w:b w:val="0"/>
          <w:bCs w:val="0"/>
          <w:sz w:val="24"/>
          <w:szCs w:val="24"/>
          <w:rtl w:val="1"/>
        </w:rPr>
        <w:t>הספרות מציעה שלוש תשובות שונות לשאלה כיצד משפיע הזמן על עמדות הכלוא כלפי הסגל, ואין ביניהן הכרעה.</w:t>
      </w:r>
    </w:p>
    <w:p>
      <w:pPr>
        <w:bidi/>
        <w:spacing w:line="480" w:lineRule="auto"/>
        <w:ind w:firstLine="482"/>
        <w:jc w:val="both"/>
      </w:pPr>
      <w:r>
        <w:rPr>
          <w:rFonts w:ascii="Times New Roman" w:hAnsi="Times New Roman" w:cs="David"/>
          <w:b w:val="0"/>
          <w:bCs w:val="0"/>
          <w:sz w:val="24"/>
          <w:szCs w:val="24"/>
          <w:rtl w:val="1"/>
        </w:rPr>
        <w:t>התשובה הראשונה גורסת שחיקה. מודל המחסור, בנוסחו הקלאסי, מניח כי חשיפה ממושכת לסביבת הכליאה מעמיקה את הפנמת נורמות תת-התרבות של הכלואים ואת ההתנגדות לסמכות (Sykes, 1958). תמיכה אמפירית עדכנית לכיוון הזה נמצאה במחקר הולנדי שקישר בין סקר של 1,610 עצורים ובין סקר סגל של 690 עובדים, ומצא כי כלואים ששהו במעצר פרק זמן קצר יותר דיווחו על תפיסות הוגנות פרוצדורלית טובות יותר (Beijersbergen et al., 2015). באותו מחקר נמצא גם כי תפיסות ההוגנות היו גבוהות יותר באגפים שבהם היחס המספרי בין סוהרים לכלואים היה גבוה, ובאגפים שבהם הסגל החזיק בעמדות שיקומיות יותר.</w:t>
      </w:r>
    </w:p>
    <w:p>
      <w:pPr>
        <w:bidi/>
        <w:spacing w:line="480" w:lineRule="auto"/>
        <w:ind w:firstLine="482"/>
        <w:jc w:val="both"/>
      </w:pPr>
      <w:r>
        <w:rPr>
          <w:rFonts w:ascii="Times New Roman" w:hAnsi="Times New Roman" w:cs="David"/>
          <w:b w:val="0"/>
          <w:bCs w:val="0"/>
          <w:sz w:val="24"/>
          <w:szCs w:val="24"/>
          <w:rtl w:val="1"/>
        </w:rPr>
        <w:t>התשובה השנייה גורסת התמסדות והיכרות. אי-הוודאות הגבוהה ביותר שחווה כלוא היא דווקא בתחילת הדרך, בטרם למד את הכללים הפורמליים והבלתי פורמליים של המקום. מחקר אוסטרלי שבחן 76 כלואים בעיצוב דו-כיווני של משך הכליאה מול סוג המשמורת מצא כי כלואים בהפרדה מגוננת ששהו במאסר יותר משישה חודשים דירגו את האקלים החברתי חיובי יותר מכלואים באותה משמורת ששהו פחות משישה חודשים, וההפרש היה חד במיוחד בממדים של תמיכה טיפולית ולכידות חברתית (Casey et al., 2016). זהו הממצא המפורש ביותר בספרות לכיוון של קשר חיובי בין ותק לתפיסת הסגל, אך הוא מותנה בסוג המשמורת ומבוסס על מדגם קטן.</w:t>
      </w:r>
    </w:p>
    <w:p>
      <w:pPr>
        <w:bidi/>
        <w:spacing w:line="480" w:lineRule="auto"/>
        <w:ind w:firstLine="482"/>
        <w:jc w:val="both"/>
      </w:pPr>
      <w:r>
        <w:rPr>
          <w:rFonts w:ascii="Times New Roman" w:hAnsi="Times New Roman" w:cs="David"/>
          <w:b w:val="0"/>
          <w:bCs w:val="0"/>
          <w:sz w:val="24"/>
          <w:szCs w:val="24"/>
          <w:rtl w:val="1"/>
        </w:rPr>
        <w:t>התשובה השלישית מטילה ספק בשאלה עצמה. באטלר, סולומון ודליסי (Butler et al., 2021) בחנו מדגם ארצי מייצג של כלואים בארצות הברית וניסו לברר אם השפעתן של חוויות שהתרחשו במהלך המאסר על תפיסת ההוגנות משתנה לפי משך הריצוי. הממצא המרכזי היה שחוויות שליליות, ובראשן שהייה בתנאי הפרדה, הפחיתו את תפיסת ההוגנות ללא תלות במשך הריצוי. לא הזמן כשלעצמו הוא שפעל, אלא מה שהתרחש בתוכו. עם זאת נמצאה גם אינטראקציה חלקית: כלואים שריצו בין שנה לחמש שנים ותפסו את המתקן כצפוף החזיקו בעמדות שליליות יותר כלפי הוגנות הסגל מכלואים ששהו פחות משנה (Butler et al., 2021).</w:t>
      </w:r>
    </w:p>
    <w:p>
      <w:pPr>
        <w:bidi/>
        <w:spacing w:line="480" w:lineRule="auto"/>
        <w:ind w:firstLine="482"/>
        <w:jc w:val="both"/>
      </w:pPr>
      <w:r>
        <w:rPr>
          <w:rFonts w:ascii="Times New Roman" w:hAnsi="Times New Roman" w:cs="David"/>
          <w:b w:val="0"/>
          <w:bCs w:val="0"/>
          <w:sz w:val="24"/>
          <w:szCs w:val="24"/>
          <w:rtl w:val="1"/>
        </w:rPr>
        <w:t>ייתכן שהסתירה בין שלוש התשובות אינה סתירה אמיתית אלא תוצר של הדרך שבה מודדים את הזמן. וילר (Wheeler, 1961) הראה כבר לפני עשורים כי מדידה של הפנמת נורמות הסגל לפי חודשי מאסר שנצברו מניבה מגמת ירידה, ואילו מדידה לפי שלב בקריירה המוסדית, כלומר ראשית המאסר מול אמצעו מול הקרבה לשחרור, מניבה עקומה בצורת האות U: ההיענות לציפיות הסגל גבוהה בכניסה, יורדת באמצע ומתאוששת לקראת השחרור. אם התבנית הזאת נכונה, מחקרים שמניחים קשר ליניארי ייחלקו זה על זה מסיבות של אפיון המשתנה ולא מסיבות מהותיות.</w:t>
      </w:r>
    </w:p>
    <w:p>
      <w:pPr>
        <w:pStyle w:val="Heading2"/>
        <w:bidi/>
        <w:spacing w:before="240"/>
        <w:ind w:firstLine="0"/>
        <w:jc w:val="right"/>
      </w:pPr>
      <w:r>
        <w:rPr>
          <w:rFonts w:ascii="Times New Roman" w:hAnsi="Times New Roman" w:cs="David"/>
          <w:b w:val="1"/>
          <w:bCs w:val="1"/>
          <w:sz w:val="24"/>
          <w:szCs w:val="24"/>
          <w:rtl w:val="1"/>
        </w:rPr>
        <w:t>ההקשר הישראלי</w:t>
      </w:r>
    </w:p>
    <w:p>
      <w:pPr>
        <w:bidi/>
        <w:spacing w:line="480" w:lineRule="auto"/>
        <w:ind w:firstLine="482"/>
        <w:jc w:val="both"/>
      </w:pPr>
      <w:r>
        <w:rPr>
          <w:rFonts w:ascii="Times New Roman" w:hAnsi="Times New Roman" w:cs="David"/>
          <w:b w:val="0"/>
          <w:bCs w:val="0"/>
          <w:sz w:val="24"/>
          <w:szCs w:val="24"/>
          <w:rtl w:val="1"/>
        </w:rPr>
        <w:t>מערכת הכליאה בישראל פועלת בתנאי מחיה שנמצאו במשך שנים מתחת לסטנדרטים המקובלים. שטח המחיה הממוצע לאסיר עמד על כ-3.1 מ"ר, לעומת מינימום של 4 מ"ר בהמלצות התקנות האירופיות לכליאה ו-5 מ"ר שנקבעו בתמ"א 24 לבנייתם של מתקנים חדשים (דוידסקו וולק, 2015). בשנת 2017 קבע בית המשפט העליון בבג"ץ 1892/14 כי המצב פוגע בזכות לכבוד ולקיום בתנאים אנושיים, וחייב את המדינה להגדיל את שטח המחיה בהדרגה. הכללים הבין-לאומיים שעליהם נשענת הפסיקה, כללי נלסון מנדלה, מגדירים את התנאים המזעריים שכל מדינה נדרשת להבטיח לכלואיה (McCall-Smith, 2016).</w:t>
      </w:r>
    </w:p>
    <w:p>
      <w:pPr>
        <w:bidi/>
        <w:spacing w:line="480" w:lineRule="auto"/>
        <w:ind w:firstLine="482"/>
        <w:jc w:val="both"/>
      </w:pPr>
      <w:r>
        <w:rPr>
          <w:rFonts w:ascii="Times New Roman" w:hAnsi="Times New Roman" w:cs="David"/>
          <w:b w:val="0"/>
          <w:bCs w:val="0"/>
          <w:sz w:val="24"/>
          <w:szCs w:val="24"/>
          <w:rtl w:val="1"/>
        </w:rPr>
        <w:t>הידע האמפירי הישראלי על יחסי סגל וכלואים מוגבל יותר. מחקר שבחן את הסביבה החברתית בבית הסוהר לנוער "אופק" על פי תפיסת האסירים לאורך חמש שנים הראה כי תפיסות הכלואים משתנות עם הזמן ואינן קבועות (גולדברג, 2012). מחקר אחר בחן את הקשר בין רמת הצפיפות בבתי סוהר פליליים בישראל ובין רמת האלימות הפיזית ולא מצא קשר עקבי (בן צבי וכרמל, 2013). הסקר הרחב ביותר בנושא נערך בשנת 2021 ושימש בסיס למחקר על מקומה של הלגיטימיות בקשר שבין תנאי המחיה ובין ההשתתפות בפעילות שיקומית (ועקנין, 2024). אף אחד מן המחקרים האלה לא בחן ישירות את הוותק באגף כמשתנה מסביר לתפיסת ההוגנות של הסגל. זהו הפער שהעבודה הנוכחית מבקשת להתחיל ולמלא.</w:t>
      </w:r>
    </w:p>
    <w:p>
      <w:pPr>
        <w:pStyle w:val="Heading2"/>
        <w:bidi/>
        <w:spacing w:before="240"/>
        <w:ind w:firstLine="0"/>
        <w:jc w:val="right"/>
      </w:pPr>
      <w:r>
        <w:rPr>
          <w:rFonts w:ascii="Times New Roman" w:hAnsi="Times New Roman" w:cs="David"/>
          <w:b w:val="1"/>
          <w:bCs w:val="1"/>
          <w:sz w:val="24"/>
          <w:szCs w:val="24"/>
          <w:rtl w:val="1"/>
        </w:rPr>
        <w:t>שאלת המחקר והשערות</w:t>
      </w:r>
    </w:p>
    <w:p>
      <w:pPr>
        <w:bidi/>
        <w:spacing w:line="480" w:lineRule="auto"/>
        <w:ind w:firstLine="482"/>
        <w:jc w:val="both"/>
      </w:pPr>
      <w:r>
        <w:rPr>
          <w:rFonts w:ascii="Times New Roman" w:hAnsi="Times New Roman" w:cs="David"/>
          <w:b w:val="0"/>
          <w:bCs w:val="0"/>
          <w:sz w:val="24"/>
          <w:szCs w:val="24"/>
          <w:rtl w:val="1"/>
        </w:rPr>
        <w:t>שאלת המחקר: באיזו מידה קיים קשר בין משך השהייה באגף ובין תפיסת ההוגנות והלגיטימיות של סגל הכליאה בקרב אסירים פליליים בישראל?</w:t>
      </w:r>
    </w:p>
    <w:p>
      <w:pPr>
        <w:bidi/>
        <w:spacing w:line="480" w:lineRule="auto"/>
        <w:ind w:firstLine="482"/>
        <w:jc w:val="both"/>
      </w:pPr>
      <w:r>
        <w:rPr>
          <w:rFonts w:ascii="Times New Roman" w:hAnsi="Times New Roman" w:cs="David"/>
          <w:b w:val="0"/>
          <w:bCs w:val="0"/>
          <w:sz w:val="24"/>
          <w:szCs w:val="24"/>
          <w:rtl w:val="1"/>
        </w:rPr>
        <w:t>לנוכח הפיצול בספרות מוצעות שתי השערות מתחרות ואחת משלימה. ההשערה הראשונה, הנגזרת ממודל המחסור ומן הממצא ההולנדי, היא שיימצא קשר שלילי בין משך השהייה באגף ובין תפיסת ההוגנות והלגיטימיות של הסגל (Sykes, 1958; Beijersbergen et al., 2015). ההשערה השנייה, הנגזרת מגישת ההיכרות וההתמסדות, היא שיימצא קשר חיובי, שכן היכרות מצטברת עם הסגל מפחיתה אי-ודאות ומייצרת יחסים אישיים (Casey et al., 2016). ההשערה השלישית, המבוססת על עקומת ה-U, היא שהקשר אינו ליניארי אלא מתון בקצוות וחד באמצע תקופת השהייה (Wheeler, 1961).</w:t>
      </w:r>
    </w:p>
    <w:p>
      <w:pPr>
        <w:bidi/>
        <w:ind w:firstLine="0"/>
      </w:pPr>
      <w:r>
        <w:br w:type="page"/>
      </w:r>
    </w:p>
    <w:p>
      <w:pPr>
        <w:pStyle w:val="Heading1"/>
        <w:bidi/>
        <w:ind w:firstLine="0"/>
        <w:jc w:val="center"/>
      </w:pPr>
      <w:r>
        <w:rPr>
          <w:rFonts w:ascii="Times New Roman" w:hAnsi="Times New Roman" w:cs="David"/>
          <w:b w:val="1"/>
          <w:bCs w:val="1"/>
          <w:sz w:val="28"/>
          <w:szCs w:val="28"/>
          <w:rtl w:val="1"/>
        </w:rPr>
        <w:t>רשימת מקורות</w:t>
      </w:r>
    </w:p>
    <w:p>
      <w:pPr>
        <w:bidi/>
        <w:spacing w:line="480" w:lineRule="auto"/>
        <w:ind w:left="709" w:hanging="709"/>
        <w:jc w:val="right"/>
      </w:pPr>
      <w:r>
        <w:rPr>
          <w:rFonts w:ascii="Times New Roman" w:hAnsi="Times New Roman" w:cs="David"/>
          <w:b w:val="0"/>
          <w:bCs w:val="0"/>
          <w:sz w:val="24"/>
          <w:szCs w:val="24"/>
          <w:rtl w:val="1"/>
        </w:rPr>
        <w:t>בג"ץ 1892/14 האגודה לזכויות האזרח בישראל נ' השר לביטחון פנים (פורסם בנבו, 13.6.2017).</w:t>
      </w:r>
    </w:p>
    <w:p>
      <w:pPr>
        <w:bidi/>
        <w:spacing w:line="480" w:lineRule="auto"/>
        <w:ind w:left="709" w:hanging="709"/>
        <w:jc w:val="right"/>
      </w:pPr>
      <w:r>
        <w:rPr>
          <w:rFonts w:ascii="Times New Roman" w:hAnsi="Times New Roman" w:cs="David"/>
          <w:b w:val="0"/>
          <w:bCs w:val="0"/>
          <w:sz w:val="24"/>
          <w:szCs w:val="24"/>
          <w:rtl w:val="1"/>
        </w:rPr>
        <w:t>בן צבי, ק' וכרמל, ת' (2013). אלימות כלואה: הקשר בין רמת צפיפות בבתי סוהר פליליים בישראל לרמת האלימות הפיזית. צוהר לבית הסוהר, 15, 28-44.</w:t>
      </w:r>
    </w:p>
    <w:p>
      <w:pPr>
        <w:bidi/>
        <w:spacing w:line="480" w:lineRule="auto"/>
        <w:ind w:left="709" w:hanging="709"/>
        <w:jc w:val="right"/>
      </w:pPr>
      <w:r>
        <w:rPr>
          <w:rFonts w:ascii="Times New Roman" w:hAnsi="Times New Roman" w:cs="David"/>
          <w:b w:val="0"/>
          <w:bCs w:val="0"/>
          <w:sz w:val="24"/>
          <w:szCs w:val="24"/>
          <w:rtl w:val="1"/>
        </w:rPr>
        <w:t>גולדברג, א' (2012). בית הסוהר לנוער "אופק": הסביבה החברתית בכלא על פי תפיסת האסירים בין השנים 2001-2005. צוהר לבית הסוהר, 12, 34-49.</w:t>
      </w:r>
    </w:p>
    <w:p>
      <w:pPr>
        <w:bidi/>
        <w:spacing w:line="480" w:lineRule="auto"/>
        <w:ind w:left="709" w:hanging="709"/>
        <w:jc w:val="right"/>
      </w:pPr>
      <w:r>
        <w:rPr>
          <w:rFonts w:ascii="Times New Roman" w:hAnsi="Times New Roman" w:cs="David"/>
          <w:b w:val="0"/>
          <w:bCs w:val="0"/>
          <w:sz w:val="24"/>
          <w:szCs w:val="24"/>
          <w:rtl w:val="1"/>
        </w:rPr>
        <w:t>דוידסקו, ע' וולק, ד' (2015). תנאי כליאה של אסירים: בין רווחה לנוקשות [סקירת ספרות, פרסום מס' LR-02-2015]. שירות בתי הסוהר, מחלקת מחקר ואסטרטגיה.</w:t>
      </w:r>
    </w:p>
    <w:p>
      <w:pPr>
        <w:bidi/>
        <w:spacing w:line="480" w:lineRule="auto"/>
        <w:ind w:left="709" w:hanging="709"/>
        <w:jc w:val="right"/>
      </w:pPr>
      <w:r>
        <w:rPr>
          <w:rFonts w:ascii="Times New Roman" w:hAnsi="Times New Roman" w:cs="David"/>
          <w:b w:val="0"/>
          <w:bCs w:val="0"/>
          <w:sz w:val="24"/>
          <w:szCs w:val="24"/>
          <w:rtl w:val="1"/>
        </w:rPr>
        <w:t>ועקנין, י' (2024). בין שיקום ללגיטימיות: תפקידה של לגיטימיות בקשר שבין שביעות רצון מתנאי המחיה לשביעות רצון מפעילות חטו"ש בקרב כלואים פליליים בישראל. צוהר לבית הסוהר, 22, 62-77.</w:t>
      </w:r>
    </w:p>
    <w:p>
      <w:pPr>
        <w:bidi/>
        <w:spacing w:line="480" w:lineRule="auto"/>
        <w:ind w:left="709" w:hanging="709"/>
        <w:jc w:val="left"/>
      </w:pPr>
      <w:r>
        <w:rPr>
          <w:rFonts w:ascii="Times New Roman" w:hAnsi="Times New Roman" w:cs="David"/>
          <w:b w:val="0"/>
          <w:bCs w:val="0"/>
          <w:sz w:val="24"/>
          <w:szCs w:val="24"/>
        </w:rPr>
        <w:t>Auty, K., &amp; Liebling, A. (2019). Exploring the relationship between prison social climate and reoffending. Justice Quarterly, 37(2), 358-381. https://doi.org/10.1080/07418825.2018.1538421</w:t>
      </w:r>
    </w:p>
    <w:p>
      <w:pPr>
        <w:bidi/>
        <w:spacing w:line="480" w:lineRule="auto"/>
        <w:ind w:left="709" w:hanging="709"/>
        <w:jc w:val="left"/>
      </w:pPr>
      <w:r>
        <w:rPr>
          <w:rFonts w:ascii="Times New Roman" w:hAnsi="Times New Roman" w:cs="David"/>
          <w:b w:val="0"/>
          <w:bCs w:val="0"/>
          <w:sz w:val="24"/>
          <w:szCs w:val="24"/>
        </w:rPr>
        <w:t>Beijersbergen, K. A., Dirkzwager, A. J. E., Molleman, T., van der Laan, P. H., &amp; Nieuwbeerta, P. (2015). Procedural justice in prison: The importance of staff characteristics. International Journal of Offender Therapy and Comparative Criminology, 59(4), 337-358. https://doi.org/10.1177/0306624X13512767</w:t>
      </w:r>
    </w:p>
    <w:p>
      <w:pPr>
        <w:bidi/>
        <w:spacing w:line="480" w:lineRule="auto"/>
        <w:ind w:left="709" w:hanging="709"/>
        <w:jc w:val="left"/>
      </w:pPr>
      <w:r>
        <w:rPr>
          <w:rFonts w:ascii="Times New Roman" w:hAnsi="Times New Roman" w:cs="David"/>
          <w:b w:val="0"/>
          <w:bCs w:val="0"/>
          <w:sz w:val="24"/>
          <w:szCs w:val="24"/>
        </w:rPr>
        <w:t>Bosma, A. Q., Van Ginneken, E. F. J. C., Palmen, H., Pasma, A. J., Beijersbergen, K. A., &amp; Nieuwbeerta, P. (2020). A new instrument to measure prison climate: The psychometric quality of the prison climate questionnaire. The Prison Journal, 100(3), 355-380. https://doi.org/10.1177/0032885520916819</w:t>
      </w:r>
    </w:p>
    <w:p>
      <w:pPr>
        <w:bidi/>
        <w:spacing w:line="480" w:lineRule="auto"/>
        <w:ind w:left="709" w:hanging="709"/>
        <w:jc w:val="left"/>
      </w:pPr>
      <w:r>
        <w:rPr>
          <w:rFonts w:ascii="Times New Roman" w:hAnsi="Times New Roman" w:cs="David"/>
          <w:b w:val="0"/>
          <w:bCs w:val="0"/>
          <w:sz w:val="24"/>
          <w:szCs w:val="24"/>
        </w:rPr>
        <w:t>Butler, H. D., Solomon, S. J., &amp; DeLisi, M. (2021). Time served in prison, in-prison experiences, and perceptions of procedural justice. Justice Quarterly, 38(7), 1519-1541. https://doi.org/10.1080/07418825.2021.1985159</w:t>
      </w:r>
    </w:p>
    <w:p>
      <w:pPr>
        <w:bidi/>
        <w:spacing w:line="480" w:lineRule="auto"/>
        <w:ind w:left="709" w:hanging="709"/>
        <w:jc w:val="left"/>
      </w:pPr>
      <w:r>
        <w:rPr>
          <w:rFonts w:ascii="Times New Roman" w:hAnsi="Times New Roman" w:cs="David"/>
          <w:b w:val="0"/>
          <w:bCs w:val="0"/>
          <w:sz w:val="24"/>
          <w:szCs w:val="24"/>
        </w:rPr>
        <w:t>Casey, S., Day, A., &amp; Reynolds, J. (2016). The influence of incarceration length and protection status on perceptions of prison social climate. Criminal Justice and Behavior, 43, 285-296. https://doi.org/10.1177/0093854815603747</w:t>
      </w:r>
    </w:p>
    <w:p>
      <w:pPr>
        <w:bidi/>
        <w:spacing w:line="480" w:lineRule="auto"/>
        <w:ind w:left="709" w:hanging="709"/>
        <w:jc w:val="left"/>
      </w:pPr>
      <w:r>
        <w:rPr>
          <w:rFonts w:ascii="Times New Roman" w:hAnsi="Times New Roman" w:cs="David"/>
          <w:b w:val="0"/>
          <w:bCs w:val="0"/>
          <w:sz w:val="24"/>
          <w:szCs w:val="24"/>
        </w:rPr>
        <w:t>Klatt, T., Hagl, S., Bergmann, M. C., &amp; Baier, D. (2016). Violence in youth custody: Risk factors of violent misconduct among inmates of German young offender institutions. European Journal of Criminology, 13(6), 727-743. https://doi.org/10.1177/1477370816643733</w:t>
      </w:r>
    </w:p>
    <w:p>
      <w:pPr>
        <w:bidi/>
        <w:spacing w:line="480" w:lineRule="auto"/>
        <w:ind w:left="709" w:hanging="709"/>
        <w:jc w:val="left"/>
      </w:pPr>
      <w:r>
        <w:rPr>
          <w:rFonts w:ascii="Times New Roman" w:hAnsi="Times New Roman" w:cs="David"/>
          <w:b w:val="0"/>
          <w:bCs w:val="0"/>
          <w:sz w:val="24"/>
          <w:szCs w:val="24"/>
        </w:rPr>
        <w:t>Liebling, A. (2011). Distinctions and distinctiveness in the work of prison officers: Legitimacy and authority revisited. European Journal of Criminology, 8(6), 484-499. https://doi.org/10.1177/1477370811413807</w:t>
      </w:r>
    </w:p>
    <w:p>
      <w:pPr>
        <w:bidi/>
        <w:spacing w:line="480" w:lineRule="auto"/>
        <w:ind w:left="709" w:hanging="709"/>
        <w:jc w:val="left"/>
      </w:pPr>
      <w:r>
        <w:rPr>
          <w:rFonts w:ascii="Times New Roman" w:hAnsi="Times New Roman" w:cs="David"/>
          <w:b w:val="0"/>
          <w:bCs w:val="0"/>
          <w:sz w:val="24"/>
          <w:szCs w:val="24"/>
        </w:rPr>
        <w:t>McCall-Smith, K. (2016). United Nations standard minimum rules for the treatment of prisoners (Nelson Mandela Rules). International Legal Materials, 55(6), 1180-1205.</w:t>
      </w:r>
    </w:p>
    <w:p>
      <w:pPr>
        <w:bidi/>
        <w:spacing w:line="480" w:lineRule="auto"/>
        <w:ind w:left="709" w:hanging="709"/>
        <w:jc w:val="left"/>
      </w:pPr>
      <w:r>
        <w:rPr>
          <w:rFonts w:ascii="Times New Roman" w:hAnsi="Times New Roman" w:cs="David"/>
          <w:b w:val="0"/>
          <w:bCs w:val="0"/>
          <w:sz w:val="24"/>
          <w:szCs w:val="24"/>
        </w:rPr>
        <w:t>Molleman, T., &amp; Leeuw, F. L. (2012). The influence of prison staff on inmate conditions: A multilevel approach to staff and inmate surveys. European Journal on Criminal Policy and Research, 18, 217-233. https://doi.org/10.1007/s10610-011-9158-7</w:t>
      </w:r>
    </w:p>
    <w:p>
      <w:pPr>
        <w:bidi/>
        <w:spacing w:line="480" w:lineRule="auto"/>
        <w:ind w:left="709" w:hanging="709"/>
        <w:jc w:val="left"/>
      </w:pPr>
      <w:r>
        <w:rPr>
          <w:rFonts w:ascii="Times New Roman" w:hAnsi="Times New Roman" w:cs="David"/>
          <w:b w:val="0"/>
          <w:bCs w:val="0"/>
          <w:sz w:val="24"/>
          <w:szCs w:val="24"/>
        </w:rPr>
        <w:t>Reisig, M. D., &amp; Meško, G. (2009). Procedural justice, legitimacy, and prisoner misconduct. Psychology, Crime &amp; Law, 15(1), 41-59. https://doi.org/10.1080/10683160802089768</w:t>
      </w:r>
    </w:p>
    <w:p>
      <w:pPr>
        <w:bidi/>
        <w:spacing w:line="480" w:lineRule="auto"/>
        <w:ind w:left="709" w:hanging="709"/>
        <w:jc w:val="left"/>
      </w:pPr>
      <w:r>
        <w:rPr>
          <w:rFonts w:ascii="Times New Roman" w:hAnsi="Times New Roman" w:cs="David"/>
          <w:b w:val="0"/>
          <w:bCs w:val="0"/>
          <w:sz w:val="24"/>
          <w:szCs w:val="24"/>
        </w:rPr>
        <w:t>Ryan, C., &amp; Bergin, M. (2022). Procedural justice and legitimacy in prisons: A review of extant empirical literature. Criminal Justice and Behavior, 49(2), 143-163. https://doi.org/10.1177/00938548211053367</w:t>
      </w:r>
    </w:p>
    <w:p>
      <w:pPr>
        <w:bidi/>
        <w:spacing w:line="480" w:lineRule="auto"/>
        <w:ind w:left="709" w:hanging="709"/>
        <w:jc w:val="left"/>
      </w:pPr>
      <w:r>
        <w:rPr>
          <w:rFonts w:ascii="Times New Roman" w:hAnsi="Times New Roman" w:cs="David"/>
          <w:b w:val="0"/>
          <w:bCs w:val="0"/>
          <w:sz w:val="24"/>
          <w:szCs w:val="24"/>
        </w:rPr>
        <w:t>Sparks, J. R., &amp; Bottoms, A. E. (1995). Legitimacy and order in prisons. The British Journal of Sociology, 46(1), 45-62. https://doi.org/10.2307/591622</w:t>
      </w:r>
    </w:p>
    <w:p>
      <w:pPr>
        <w:bidi/>
        <w:spacing w:line="480" w:lineRule="auto"/>
        <w:ind w:left="709" w:hanging="709"/>
        <w:jc w:val="left"/>
      </w:pPr>
      <w:r>
        <w:rPr>
          <w:rFonts w:ascii="Times New Roman" w:hAnsi="Times New Roman" w:cs="David"/>
          <w:b w:val="0"/>
          <w:bCs w:val="0"/>
          <w:sz w:val="24"/>
          <w:szCs w:val="24"/>
        </w:rPr>
        <w:t>Sykes, G. M. (1958). The society of captives: A study of a maximum security prison. Princeton University Press.</w:t>
      </w:r>
    </w:p>
    <w:p>
      <w:pPr>
        <w:bidi/>
        <w:spacing w:line="480" w:lineRule="auto"/>
        <w:ind w:left="709" w:hanging="709"/>
        <w:jc w:val="left"/>
      </w:pPr>
      <w:r>
        <w:rPr>
          <w:rFonts w:ascii="Times New Roman" w:hAnsi="Times New Roman" w:cs="David"/>
          <w:b w:val="0"/>
          <w:bCs w:val="0"/>
          <w:sz w:val="24"/>
          <w:szCs w:val="24"/>
        </w:rPr>
        <w:t>Tyler, T. R. (2003). Procedural justice, legitimacy, and the effective rule of law. Crime and Justice, 30, 283-357. https://doi.org/10.1086/652233</w:t>
      </w:r>
    </w:p>
    <w:p>
      <w:pPr>
        <w:bidi/>
        <w:spacing w:line="480" w:lineRule="auto"/>
        <w:ind w:left="709" w:hanging="709"/>
        <w:jc w:val="left"/>
      </w:pPr>
      <w:r>
        <w:rPr>
          <w:rFonts w:ascii="Times New Roman" w:hAnsi="Times New Roman" w:cs="David"/>
          <w:b w:val="0"/>
          <w:bCs w:val="0"/>
          <w:sz w:val="24"/>
          <w:szCs w:val="24"/>
        </w:rPr>
        <w:t>Van Ginneken, E. F. J. C., Palmen, H., Bosma, A. Q., &amp; Sentse, M. (2019). Bearing the weight of imprisonment: The relationship between prison climate and well-being. Criminal Justice and Behavior, 46(10), 1385-1404. https://doi.org/10.1177/0093854819867373</w:t>
      </w:r>
    </w:p>
    <w:p>
      <w:pPr>
        <w:bidi/>
        <w:spacing w:line="480" w:lineRule="auto"/>
        <w:ind w:left="709" w:hanging="709"/>
        <w:jc w:val="left"/>
      </w:pPr>
      <w:r>
        <w:rPr>
          <w:rFonts w:ascii="Times New Roman" w:hAnsi="Times New Roman" w:cs="David"/>
          <w:b w:val="0"/>
          <w:bCs w:val="0"/>
          <w:sz w:val="24"/>
          <w:szCs w:val="24"/>
        </w:rPr>
        <w:t>Weinrath, M., &amp; Ricciardelli, R. (2023). Canadian prison environments: A mixed methods analysis. The Prison Journal, 103(2), 215-238. https://doi.org/10.1177/00328855231154794</w:t>
      </w:r>
    </w:p>
    <w:p>
      <w:pPr>
        <w:bidi/>
        <w:spacing w:line="480" w:lineRule="auto"/>
        <w:ind w:left="709" w:hanging="709"/>
        <w:jc w:val="left"/>
      </w:pPr>
      <w:r>
        <w:rPr>
          <w:rFonts w:ascii="Times New Roman" w:hAnsi="Times New Roman" w:cs="David"/>
          <w:b w:val="0"/>
          <w:bCs w:val="0"/>
          <w:sz w:val="24"/>
          <w:szCs w:val="24"/>
        </w:rPr>
        <w:t>Wheeler, S. (1961). Socialization in correctional communities. American Sociological Review, 26(5), 697-712.</w:t>
      </w:r>
    </w:p>
    <w:sectPr w:rsidR="008A0036" w:rsidRPr="008A003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4D5"/>
    <w:multiLevelType w:val="hybridMultilevel"/>
    <w:tmpl w:val="B4E8BB1E"/>
    <w:lvl w:ilvl="0" w:tplc="25CEDC80">
      <w:start w:val="1"/>
      <w:numFmt w:val="bullet"/>
      <w:lvlText w:val="●"/>
      <w:lvlJc w:val="left"/>
      <w:pPr>
        <w:ind w:left="720" w:hanging="360"/>
      </w:pPr>
    </w:lvl>
    <w:lvl w:ilvl="1" w:tplc="93FC9F78">
      <w:start w:val="1"/>
      <w:numFmt w:val="bullet"/>
      <w:lvlText w:val="○"/>
      <w:lvlJc w:val="left"/>
      <w:pPr>
        <w:ind w:left="1440" w:hanging="360"/>
      </w:pPr>
    </w:lvl>
    <w:lvl w:ilvl="2" w:tplc="370E8E98">
      <w:start w:val="1"/>
      <w:numFmt w:val="bullet"/>
      <w:lvlText w:val="■"/>
      <w:lvlJc w:val="left"/>
      <w:pPr>
        <w:ind w:left="2160" w:hanging="360"/>
      </w:pPr>
    </w:lvl>
    <w:lvl w:ilvl="3" w:tplc="C0F28860">
      <w:start w:val="1"/>
      <w:numFmt w:val="bullet"/>
      <w:lvlText w:val="●"/>
      <w:lvlJc w:val="left"/>
      <w:pPr>
        <w:ind w:left="2880" w:hanging="360"/>
      </w:pPr>
    </w:lvl>
    <w:lvl w:ilvl="4" w:tplc="46FA3254">
      <w:start w:val="1"/>
      <w:numFmt w:val="bullet"/>
      <w:lvlText w:val="○"/>
      <w:lvlJc w:val="left"/>
      <w:pPr>
        <w:ind w:left="3600" w:hanging="360"/>
      </w:pPr>
    </w:lvl>
    <w:lvl w:ilvl="5" w:tplc="3378FEA6">
      <w:start w:val="1"/>
      <w:numFmt w:val="bullet"/>
      <w:lvlText w:val="■"/>
      <w:lvlJc w:val="left"/>
      <w:pPr>
        <w:ind w:left="4320" w:hanging="360"/>
      </w:pPr>
    </w:lvl>
    <w:lvl w:ilvl="6" w:tplc="D9F42030">
      <w:start w:val="1"/>
      <w:numFmt w:val="bullet"/>
      <w:lvlText w:val="●"/>
      <w:lvlJc w:val="left"/>
      <w:pPr>
        <w:ind w:left="5040" w:hanging="360"/>
      </w:pPr>
    </w:lvl>
    <w:lvl w:ilvl="7" w:tplc="555898B6">
      <w:start w:val="1"/>
      <w:numFmt w:val="bullet"/>
      <w:lvlText w:val="●"/>
      <w:lvlJc w:val="left"/>
      <w:pPr>
        <w:ind w:left="5760" w:hanging="360"/>
      </w:pPr>
    </w:lvl>
    <w:lvl w:ilvl="8" w:tplc="07C2E37E">
      <w:start w:val="1"/>
      <w:numFmt w:val="bullet"/>
      <w:lvlText w:val="●"/>
      <w:lvlJc w:val="left"/>
      <w:pPr>
        <w:ind w:left="6480" w:hanging="360"/>
      </w:pPr>
    </w:lvl>
  </w:abstractNum>
  <w:abstractNum w:abstractNumId="1" w15:restartNumberingAfterBreak="0">
    <w:nsid w:val="207B4A08"/>
    <w:multiLevelType w:val="hybridMultilevel"/>
    <w:tmpl w:val="95D8284A"/>
    <w:lvl w:ilvl="0" w:tplc="E7203E64">
      <w:start w:val="1"/>
      <w:numFmt w:val="bullet"/>
      <w:lvlText w:val="•"/>
      <w:lvlJc w:val="right"/>
      <w:pPr>
        <w:ind w:right="360" w:hanging="260"/>
      </w:pPr>
    </w:lvl>
    <w:lvl w:ilvl="1" w:tplc="DFE84BBC">
      <w:numFmt w:val="decimal"/>
      <w:lvlText w:val=""/>
      <w:lvlJc w:val="left"/>
    </w:lvl>
    <w:lvl w:ilvl="2" w:tplc="BFC46F14">
      <w:numFmt w:val="decimal"/>
      <w:lvlText w:val=""/>
      <w:lvlJc w:val="left"/>
    </w:lvl>
    <w:lvl w:ilvl="3" w:tplc="AE80134A">
      <w:numFmt w:val="decimal"/>
      <w:lvlText w:val=""/>
      <w:lvlJc w:val="left"/>
    </w:lvl>
    <w:lvl w:ilvl="4" w:tplc="5F4ED00C">
      <w:numFmt w:val="decimal"/>
      <w:lvlText w:val=""/>
      <w:lvlJc w:val="left"/>
    </w:lvl>
    <w:lvl w:ilvl="5" w:tplc="11DA19C6">
      <w:numFmt w:val="decimal"/>
      <w:lvlText w:val=""/>
      <w:lvlJc w:val="left"/>
    </w:lvl>
    <w:lvl w:ilvl="6" w:tplc="45AAF8FE">
      <w:numFmt w:val="decimal"/>
      <w:lvlText w:val=""/>
      <w:lvlJc w:val="left"/>
    </w:lvl>
    <w:lvl w:ilvl="7" w:tplc="E1564A9A">
      <w:numFmt w:val="decimal"/>
      <w:lvlText w:val=""/>
      <w:lvlJc w:val="left"/>
    </w:lvl>
    <w:lvl w:ilvl="8" w:tplc="49D62594">
      <w:numFmt w:val="decimal"/>
      <w:lvlText w:val=""/>
      <w:lvlJc w:val="left"/>
    </w:lvl>
  </w:abstractNum>
  <w:abstractNum w:abstractNumId="2" w15:restartNumberingAfterBreak="0">
    <w:nsid w:val="54632839"/>
    <w:multiLevelType w:val="hybridMultilevel"/>
    <w:tmpl w:val="46CC5252"/>
    <w:lvl w:ilvl="0" w:tplc="9FA893A0">
      <w:start w:val="1"/>
      <w:numFmt w:val="decimal"/>
      <w:pStyle w:val="a"/>
      <w:lvlText w:val="לוח %1."/>
      <w:lvlJc w:val="left"/>
      <w:pPr>
        <w:ind w:left="360" w:hanging="360"/>
      </w:pPr>
      <w:rPr>
        <w:rFonts w:ascii="Times New Roman" w:hAnsi="Times New Roman"/>
        <w:b/>
        <w:bCs/>
        <w:i w:val="0"/>
        <w:iCs w:val="0"/>
        <w:caps w:val="0"/>
        <w:smallCaps w:val="0"/>
        <w:strike w:val="0"/>
        <w:dstrike w:val="0"/>
        <w:noProof w:val="0"/>
        <w:vanish w:val="0"/>
        <w:color w:val="000000"/>
        <w:spacing w:val="0"/>
        <w:kern w:val="0"/>
        <w:position w:val="0"/>
        <w:u w:val="none"/>
        <w:effect w:val="none"/>
        <w:vertAlign w:val="baseline"/>
        <w:em w:val="none"/>
        <w:lang w:bidi="he-IL"/>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17445151">
    <w:abstractNumId w:val="0"/>
    <w:lvlOverride w:ilvl="0">
      <w:startOverride w:val="1"/>
    </w:lvlOverride>
  </w:num>
  <w:num w:numId="2" w16cid:durableId="1709139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DD8"/>
    <w:rsid w:val="00080DD8"/>
    <w:rsid w:val="00127B5D"/>
    <w:rsid w:val="003D3D5C"/>
    <w:rsid w:val="005F0F7D"/>
    <w:rsid w:val="007377CA"/>
    <w:rsid w:val="00872690"/>
    <w:rsid w:val="008A0036"/>
    <w:rsid w:val="00AB4878"/>
    <w:rsid w:val="00B237FD"/>
    <w:rsid w:val="00BE6345"/>
    <w:rsid w:val="00D8797D"/>
    <w:rsid w:val="00FD2C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44E90"/>
  <w15:docId w15:val="{49B31415-6339-4538-8686-3372CCD9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CA7"/>
    <w:pPr>
      <w:bidi/>
      <w:spacing w:after="120" w:line="360" w:lineRule="auto"/>
      <w:ind w:firstLine="340"/>
      <w:jc w:val="both"/>
    </w:pPr>
  </w:style>
  <w:style w:type="paragraph" w:styleId="Heading1">
    <w:name w:val="heading 1"/>
    <w:uiPriority w:val="9"/>
    <w:qFormat/>
    <w:rsid w:val="00FD2CA7"/>
    <w:pPr>
      <w:bidi/>
      <w:spacing w:before="320" w:after="160"/>
      <w:outlineLvl w:val="0"/>
    </w:pPr>
    <w:rPr>
      <w:b/>
      <w:bCs/>
      <w:color w:val="1B2A4A"/>
      <w:sz w:val="32"/>
      <w:szCs w:val="32"/>
    </w:rPr>
  </w:style>
  <w:style w:type="paragraph" w:styleId="Heading2">
    <w:name w:val="heading 2"/>
    <w:uiPriority w:val="9"/>
    <w:unhideWhenUsed/>
    <w:qFormat/>
    <w:rsid w:val="00FD2CA7"/>
    <w:pPr>
      <w:bidi/>
      <w:spacing w:before="240" w:after="120"/>
      <w:outlineLvl w:val="1"/>
    </w:pPr>
    <w:rPr>
      <w:b/>
      <w:bCs/>
      <w:sz w:val="27"/>
      <w:szCs w:val="27"/>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237FD"/>
    <w:pPr>
      <w:spacing w:after="100"/>
    </w:pPr>
  </w:style>
  <w:style w:type="paragraph" w:styleId="TOC2">
    <w:name w:val="toc 2"/>
    <w:basedOn w:val="Normal"/>
    <w:next w:val="Normal"/>
    <w:autoRedefine/>
    <w:uiPriority w:val="39"/>
    <w:unhideWhenUsed/>
    <w:rsid w:val="00B237FD"/>
    <w:pPr>
      <w:spacing w:after="100"/>
      <w:ind w:left="240"/>
    </w:pPr>
  </w:style>
  <w:style w:type="paragraph" w:styleId="TOC3">
    <w:name w:val="toc 3"/>
    <w:basedOn w:val="Normal"/>
    <w:next w:val="Normal"/>
    <w:autoRedefine/>
    <w:uiPriority w:val="39"/>
    <w:unhideWhenUsed/>
    <w:rsid w:val="00B237FD"/>
    <w:pPr>
      <w:spacing w:after="100"/>
      <w:ind w:left="480"/>
    </w:pPr>
  </w:style>
  <w:style w:type="paragraph" w:customStyle="1" w:styleId="a0">
    <w:name w:val="רגילה"/>
    <w:basedOn w:val="Normal"/>
    <w:link w:val="a1"/>
    <w:autoRedefine/>
    <w:qFormat/>
    <w:rsid w:val="00BE6345"/>
    <w:pPr>
      <w:spacing w:after="0"/>
      <w:ind w:firstLine="720"/>
    </w:pPr>
    <w:rPr>
      <w:rFonts w:ascii="Times New Roman" w:eastAsia="MS Mincho" w:hAnsi="Times New Roman"/>
      <w:lang w:val="en-GB"/>
    </w:rPr>
  </w:style>
  <w:style w:type="character" w:customStyle="1" w:styleId="a1">
    <w:name w:val="רגילה תו"/>
    <w:link w:val="a0"/>
    <w:locked/>
    <w:rsid w:val="00BE6345"/>
    <w:rPr>
      <w:rFonts w:ascii="Times New Roman" w:eastAsia="MS Mincho" w:hAnsi="Times New Roman"/>
      <w:lang w:val="en-GB"/>
    </w:rPr>
  </w:style>
  <w:style w:type="paragraph" w:customStyle="1" w:styleId="a">
    <w:name w:val="לוחות"/>
    <w:basedOn w:val="Caption"/>
    <w:next w:val="PlainText"/>
    <w:link w:val="Char"/>
    <w:autoRedefine/>
    <w:qFormat/>
    <w:rsid w:val="00BE6345"/>
    <w:pPr>
      <w:numPr>
        <w:numId w:val="2"/>
      </w:numPr>
      <w:spacing w:before="120" w:after="120" w:line="360" w:lineRule="auto"/>
    </w:pPr>
    <w:rPr>
      <w:rFonts w:ascii="Times New Roman" w:eastAsia="MS Mincho" w:hAnsi="Times New Roman"/>
      <w:b/>
      <w:bCs/>
      <w:i w:val="0"/>
      <w:iCs w:val="0"/>
      <w:color w:val="auto"/>
      <w:sz w:val="22"/>
      <w:szCs w:val="22"/>
    </w:rPr>
  </w:style>
  <w:style w:type="character" w:customStyle="1" w:styleId="Char">
    <w:name w:val="לוחות Char"/>
    <w:link w:val="a"/>
    <w:rsid w:val="00BE6345"/>
    <w:rPr>
      <w:rFonts w:ascii="Times New Roman" w:eastAsia="MS Mincho" w:hAnsi="Times New Roman"/>
      <w:b/>
      <w:bCs/>
      <w:sz w:val="22"/>
      <w:szCs w:val="22"/>
    </w:rPr>
  </w:style>
  <w:style w:type="paragraph" w:customStyle="1" w:styleId="pvalue">
    <w:name w:val="pvalue"/>
    <w:basedOn w:val="Normal"/>
    <w:link w:val="pvalueChar"/>
    <w:qFormat/>
    <w:rsid w:val="00BE6345"/>
    <w:pPr>
      <w:bidi w:val="0"/>
      <w:spacing w:after="240"/>
      <w:ind w:left="720" w:firstLine="0"/>
    </w:pPr>
    <w:rPr>
      <w:rFonts w:eastAsia="Times New Roman"/>
      <w:sz w:val="20"/>
      <w:szCs w:val="20"/>
      <w:lang w:val="en-GB"/>
    </w:rPr>
  </w:style>
  <w:style w:type="paragraph" w:customStyle="1" w:styleId="nispah">
    <w:name w:val="nispah"/>
    <w:basedOn w:val="Normal"/>
    <w:link w:val="nispahChar"/>
    <w:qFormat/>
    <w:rsid w:val="00BE6345"/>
    <w:pPr>
      <w:spacing w:after="0"/>
      <w:ind w:firstLine="0"/>
    </w:pPr>
    <w:rPr>
      <w:rFonts w:ascii="Times New Roman" w:eastAsia="MS Mincho" w:hAnsi="Times New Roman"/>
      <w:lang w:val="en-GB"/>
    </w:rPr>
  </w:style>
  <w:style w:type="character" w:customStyle="1" w:styleId="pvalueChar">
    <w:name w:val="pvalue Char"/>
    <w:link w:val="pvalue"/>
    <w:rsid w:val="00BE6345"/>
    <w:rPr>
      <w:rFonts w:eastAsia="Times New Roman"/>
      <w:sz w:val="20"/>
      <w:szCs w:val="20"/>
      <w:lang w:val="en-GB"/>
    </w:rPr>
  </w:style>
  <w:style w:type="character" w:customStyle="1" w:styleId="nispahChar">
    <w:name w:val="nispah Char"/>
    <w:link w:val="nispah"/>
    <w:rsid w:val="00BE6345"/>
    <w:rPr>
      <w:rFonts w:ascii="Times New Roman" w:eastAsia="MS Mincho" w:hAnsi="Times New Roman"/>
      <w:lang w:val="en-GB"/>
    </w:rPr>
  </w:style>
  <w:style w:type="paragraph" w:styleId="Caption">
    <w:name w:val="caption"/>
    <w:basedOn w:val="Normal"/>
    <w:next w:val="Normal"/>
    <w:uiPriority w:val="35"/>
    <w:semiHidden/>
    <w:unhideWhenUsed/>
    <w:qFormat/>
    <w:rsid w:val="00BE6345"/>
    <w:pPr>
      <w:spacing w:after="200" w:line="240" w:lineRule="auto"/>
    </w:pPr>
    <w:rPr>
      <w:i/>
      <w:iCs/>
      <w:color w:val="0E2841" w:themeColor="text2"/>
      <w:sz w:val="18"/>
      <w:szCs w:val="18"/>
    </w:rPr>
  </w:style>
  <w:style w:type="paragraph" w:styleId="PlainText">
    <w:name w:val="Plain Text"/>
    <w:basedOn w:val="Normal"/>
    <w:link w:val="PlainTextChar"/>
    <w:uiPriority w:val="99"/>
    <w:semiHidden/>
    <w:unhideWhenUsed/>
    <w:rsid w:val="00BE634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E634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943</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כללי כתיבה אקדמית – מדריך לסמינריון תנאי כליאה</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כללי כתיבה אקדמית – מדריך לסמינריון תנאי כליאה</dc:title>
  <dc:creator>ד"ר יוחנן ועקנין</dc:creator>
  <cp:lastModifiedBy>Yohanan Ouaknine</cp:lastModifiedBy>
  <cp:revision>4</cp:revision>
  <dcterms:created xsi:type="dcterms:W3CDTF">2026-08-04T04:39:00Z</dcterms:created>
  <dcterms:modified xsi:type="dcterms:W3CDTF">2026-08-04T04:40:00Z</dcterms:modified>
</cp:coreProperties>
</file>