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0" w:line="360"/>
        <w:jc w:val="center"/>
      </w:pPr>
      <w:r>
        <w:rPr>
          <w:rFonts w:ascii="David" w:cs="David" w:eastAsia="David" w:hAnsi="David"/>
          <w:b/>
          <w:bCs/>
          <w:i w:val="false"/>
          <w:smallCaps w:val="false"/>
          <w:sz w:val="28"/>
          <w:szCs w:val="28"/>
          <w:highlight w:val="yellow"/>
          <w:rtl/>
        </w:rPr>
        <w:t xml:space="preserve">שם המוסד האקדמי</w:t>
      </w:r>
    </w:p>
    <w:p>
      <w:pPr>
        <w:bidi/>
        <w:spacing w:after="1200" w:before="0" w:line="360"/>
        <w:jc w:val="center"/>
      </w:pPr>
      <w:r>
        <w:rPr>
          <w:rFonts w:ascii="David" w:cs="David" w:eastAsia="David" w:hAnsi="David"/>
          <w:i w:val="false"/>
          <w:smallCaps w:val="false"/>
          <w:sz w:val="26"/>
          <w:szCs w:val="26"/>
          <w:highlight w:val="yellow"/>
          <w:rtl/>
        </w:rPr>
        <w:t xml:space="preserve">הפקולטה / בית הספר למשפטים</w:t>
      </w:r>
    </w:p>
    <w:p>
      <w:pPr>
        <w:bidi/>
        <w:spacing w:after="120" w:before="0" w:line="360"/>
        <w:jc w:val="center"/>
      </w:pPr>
      <w:r>
        <w:rPr>
          <w:rFonts w:ascii="David" w:cs="David" w:eastAsia="David" w:hAnsi="David"/>
          <w:i w:val="false"/>
          <w:smallCaps w:val="false"/>
          <w:sz w:val="26"/>
          <w:szCs w:val="26"/>
          <w:rtl/>
        </w:rPr>
        <w:t xml:space="preserve">סמינריון מונחה במשפט פלילי</w:t>
      </w:r>
    </w:p>
    <w:p>
      <w:pPr>
        <w:bidi/>
        <w:spacing w:after="1200" w:before="0" w:line="360"/>
        <w:jc w:val="center"/>
      </w:pPr>
      <w:r>
        <w:rPr>
          <w:rFonts w:ascii="David" w:cs="David" w:eastAsia="David" w:hAnsi="David"/>
          <w:i w:val="false"/>
          <w:smallCaps w:val="false"/>
          <w:sz w:val="26"/>
          <w:szCs w:val="26"/>
          <w:rtl/>
        </w:rPr>
        <w:t xml:space="preserve">מיני סמינר</w:t>
      </w:r>
    </w:p>
    <w:p>
      <w:pPr>
        <w:bidi/>
        <w:spacing w:after="240" w:before="0" w:line="360"/>
        <w:jc w:val="center"/>
      </w:pPr>
      <w:r>
        <w:rPr>
          <w:rFonts w:ascii="David" w:cs="David" w:eastAsia="David" w:hAnsi="David"/>
          <w:b/>
          <w:bCs/>
          <w:i w:val="false"/>
          <w:smallCaps w:val="false"/>
          <w:sz w:val="44"/>
          <w:szCs w:val="44"/>
          <w:rtl/>
        </w:rPr>
        <w:t xml:space="preserve">עבירת ההסתה לגזענות</w:t>
      </w:r>
    </w:p>
    <w:p>
      <w:pPr>
        <w:bidi/>
        <w:spacing w:after="2000" w:before="0" w:line="360"/>
        <w:jc w:val="center"/>
      </w:pPr>
      <w:r>
        <w:rPr>
          <w:rFonts w:ascii="David" w:cs="David" w:eastAsia="David" w:hAnsi="David"/>
          <w:i w:val="false"/>
          <w:smallCaps w:val="false"/>
          <w:sz w:val="28"/>
          <w:szCs w:val="28"/>
          <w:rtl/>
        </w:rPr>
        <w:t xml:space="preserve">בין מטרת המפרסם לתוכן הפרסום, ושאלת הלכת הצפיות שטרם הוכרעה</w:t>
      </w:r>
    </w:p>
    <w:p>
      <w:pPr>
        <w:bidi/>
        <w:spacing w:after="120" w:before="0" w:line="360"/>
        <w:jc w:val="center"/>
      </w:pPr>
      <w:r>
        <w:rPr>
          <w:rFonts w:ascii="David" w:cs="David" w:eastAsia="David" w:hAnsi="David"/>
          <w:i w:val="false"/>
          <w:smallCaps w:val="false"/>
          <w:sz w:val="26"/>
          <w:szCs w:val="26"/>
          <w:rtl/>
        </w:rPr>
        <w:t xml:space="preserve">מגיש/ה: </w:t>
      </w:r>
      <w:r>
        <w:rPr>
          <w:rFonts w:ascii="David" w:cs="David" w:eastAsia="David" w:hAnsi="David"/>
          <w:i w:val="false"/>
          <w:smallCaps w:val="false"/>
          <w:sz w:val="26"/>
          <w:szCs w:val="26"/>
          <w:highlight w:val="yellow"/>
          <w:rtl/>
        </w:rPr>
        <w:t xml:space="preserve">שם מלא</w:t>
      </w:r>
    </w:p>
    <w:p>
      <w:pPr>
        <w:bidi/>
        <w:spacing w:after="120" w:before="0" w:line="360"/>
        <w:jc w:val="center"/>
      </w:pPr>
      <w:r>
        <w:rPr>
          <w:rFonts w:ascii="David" w:cs="David" w:eastAsia="David" w:hAnsi="David"/>
          <w:i w:val="false"/>
          <w:smallCaps w:val="false"/>
          <w:sz w:val="26"/>
          <w:szCs w:val="26"/>
          <w:rtl/>
        </w:rPr>
        <w:t xml:space="preserve">ת"ז: </w:t>
      </w:r>
      <w:r>
        <w:rPr>
          <w:rFonts w:ascii="David" w:cs="David" w:eastAsia="David" w:hAnsi="David"/>
          <w:i w:val="false"/>
          <w:smallCaps w:val="false"/>
          <w:sz w:val="26"/>
          <w:szCs w:val="26"/>
          <w:highlight w:val="yellow"/>
          <w:rtl/>
        </w:rPr>
        <w:t xml:space="preserve">000000000</w:t>
      </w:r>
    </w:p>
    <w:p>
      <w:pPr>
        <w:bidi/>
        <w:spacing w:after="600" w:before="0" w:line="360"/>
        <w:jc w:val="center"/>
      </w:pPr>
      <w:r>
        <w:rPr>
          <w:rFonts w:ascii="David" w:cs="David" w:eastAsia="David" w:hAnsi="David"/>
          <w:i w:val="false"/>
          <w:smallCaps w:val="false"/>
          <w:sz w:val="26"/>
          <w:szCs w:val="26"/>
          <w:rtl/>
        </w:rPr>
        <w:t xml:space="preserve">מנחה: ד"ר עו"ד גלית אהרון</w:t>
      </w:r>
    </w:p>
    <w:p>
      <w:pPr>
        <w:bidi/>
        <w:spacing w:after="120" w:before="0" w:line="360"/>
        <w:jc w:val="center"/>
      </w:pPr>
      <w:r>
        <w:rPr>
          <w:rFonts w:ascii="David" w:cs="David" w:eastAsia="David" w:hAnsi="David"/>
          <w:i w:val="false"/>
          <w:smallCaps w:val="false"/>
          <w:sz w:val="26"/>
          <w:szCs w:val="26"/>
          <w:rtl/>
        </w:rPr>
        <w:t xml:space="preserve">מועד הגשה: 20.10.2026</w:t>
      </w:r>
    </w:p>
    <w:p>
      <w:pPr>
        <w:sectPr>
          <w:pgSz w:w="11906" w:h="16838" w:orient="portrait"/>
          <w:pgMar w:top="1440" w:right="1440" w:bottom="1440" w:left="1440" w:header="708" w:footer="708" w:gutter="0"/>
          <w:pgNumType/>
          <w:bidi/>
          <w:docGrid w:linePitch="360"/>
        </w:sectPr>
      </w:pPr>
    </w:p>
    <w:p>
      <w:pPr>
        <w:bidi/>
        <w:spacing w:after="240"/>
        <w:jc w:val="center"/>
      </w:pPr>
      <w:r>
        <w:rPr>
          <w:rFonts w:ascii="David" w:cs="David" w:eastAsia="David" w:hAnsi="David"/>
          <w:b/>
          <w:bCs/>
          <w:i w:val="false"/>
          <w:smallCaps w:val="false"/>
          <w:sz w:val="32"/>
          <w:szCs w:val="32"/>
          <w:rtl/>
        </w:rPr>
        <w:t xml:space="preserve">תוכן עניינים</w:t>
      </w:r>
    </w:p>
    <w:sdt>
      <w:sdtPr>
        <w:alias w:val="תוכן עניינים"/>
      </w:sdtPr>
      <w:sdtContent>
        <w:p>
          <w:pPr>
            <w:tabs>
              <w:tab w:val="left" w:leader="dot" w:pos="8680"/>
            </w:tabs>
            <w:bidi/>
            <w:spacing w:after="40" w:line="300" w:lineRule="auto"/>
          </w:pPr>
          <w:r>
            <w:fldChar w:fldCharType="begin" w:dirty="true"/>
          </w:r>
          <w:r>
            <w:instrText xml:space="preserve"> TOC \o "1-2" \h \z \u </w:instrText>
          </w:r>
          <w:r>
            <w:fldChar w:fldCharType="separate"/>
          </w:r>
          <w:r>
            <w:rPr>
              <w:rFonts w:ascii="David" w:hAnsi="David" w:cs="David" w:eastAsia="David"/>
              <w:b/>
              <w:bCs/>
              <w:sz w:val="24"/>
              <w:szCs w:val="24"/>
              <w:rtl/>
            </w:rPr>
            <w:t xml:space="preserve">מבוא</w:t>
          </w:r>
          <w:r>
            <w:rPr>
              <w:rFonts w:ascii="David" w:hAnsi="David" w:cs="David" w:eastAsia="David"/>
              <w:b/>
              <w:bCs/>
              <w:sz w:val="24"/>
              <w:szCs w:val="24"/>
              <w:rtl/>
            </w:rPr>
            <w:tab/>
          </w:r>
          <w:r>
            <w:rPr>
              <w:rFonts w:ascii="David" w:hAnsi="David" w:cs="David" w:eastAsia="David"/>
              <w:b/>
              <w:bCs/>
              <w:sz w:val="24"/>
              <w:szCs w:val="24"/>
              <w:rtl/>
            </w:rPr>
            <w:t>1</w:t>
          </w:r>
        </w:p>
        <w:p>
          <w:pPr>
            <w:tabs>
              <w:tab w:val="left" w:leader="dot" w:pos="8680"/>
            </w:tabs>
            <w:bidi/>
            <w:spacing w:after="40" w:line="300" w:lineRule="auto"/>
          </w:pPr>
          <w:r>
            <w:rPr>
              <w:rFonts w:ascii="David" w:hAnsi="David" w:cs="David" w:eastAsia="David"/>
              <w:b/>
              <w:bCs/>
              <w:sz w:val="24"/>
              <w:szCs w:val="24"/>
              <w:rtl/>
            </w:rPr>
            <w:t xml:space="preserve">פרק א: רקע ותכלית</w:t>
          </w:r>
          <w:r>
            <w:rPr>
              <w:rFonts w:ascii="David" w:hAnsi="David" w:cs="David" w:eastAsia="David"/>
              <w:b/>
              <w:bCs/>
              <w:sz w:val="24"/>
              <w:szCs w:val="24"/>
              <w:rtl/>
            </w:rPr>
            <w:tab/>
          </w:r>
          <w:r>
            <w:rPr>
              <w:rFonts w:ascii="David" w:hAnsi="David" w:cs="David" w:eastAsia="David"/>
              <w:b/>
              <w:bCs/>
              <w:sz w:val="24"/>
              <w:szCs w:val="24"/>
              <w:rtl/>
            </w:rPr>
            <w:t>1</w:t>
          </w:r>
        </w:p>
        <w:p>
          <w:pPr>
            <w:tabs>
              <w:tab w:val="left" w:leader="dot" w:pos="8680"/>
            </w:tabs>
            <w:bidi/>
            <w:spacing w:after="40" w:line="300" w:lineRule="auto"/>
          </w:pPr>
          <w:r>
            <w:rPr>
              <w:rFonts w:ascii="David" w:hAnsi="David" w:cs="David" w:eastAsia="David"/>
              <w:b/>
              <w:bCs/>
              <w:sz w:val="24"/>
              <w:szCs w:val="24"/>
              <w:rtl/>
            </w:rPr>
            <w:t xml:space="preserve">פרק ב: המסגרת הנורמטיבית</w:t>
          </w:r>
          <w:r>
            <w:rPr>
              <w:rFonts w:ascii="David" w:hAnsi="David" w:cs="David" w:eastAsia="David"/>
              <w:b/>
              <w:bCs/>
              <w:sz w:val="24"/>
              <w:szCs w:val="24"/>
              <w:rtl/>
            </w:rPr>
            <w:tab/>
          </w:r>
          <w:r>
            <w:rPr>
              <w:rFonts w:ascii="David" w:hAnsi="David" w:cs="David" w:eastAsia="David"/>
              <w:b/>
              <w:bCs/>
              <w:sz w:val="24"/>
              <w:szCs w:val="24"/>
              <w:rtl/>
            </w:rPr>
            <w:t>2</w:t>
          </w:r>
        </w:p>
        <w:p>
          <w:pPr>
            <w:tabs>
              <w:tab w:val="left" w:leader="dot" w:pos="8680"/>
            </w:tabs>
            <w:bidi/>
            <w:spacing w:after="40" w:line="300" w:lineRule="auto"/>
          </w:pPr>
          <w:r>
            <w:rPr>
              <w:rFonts w:ascii="David" w:hAnsi="David" w:cs="David" w:eastAsia="David"/>
              <w:b/>
              <w:bCs/>
              <w:sz w:val="24"/>
              <w:szCs w:val="24"/>
              <w:rtl/>
            </w:rPr>
            <w:t xml:space="preserve">פרק ג: יסודות העבירה בפסיקה</w:t>
          </w:r>
          <w:r>
            <w:rPr>
              <w:rFonts w:ascii="David" w:hAnsi="David" w:cs="David" w:eastAsia="David"/>
              <w:b/>
              <w:bCs/>
              <w:sz w:val="24"/>
              <w:szCs w:val="24"/>
              <w:rtl/>
            </w:rPr>
            <w:tab/>
          </w:r>
          <w:r>
            <w:rPr>
              <w:rFonts w:ascii="David" w:hAnsi="David" w:cs="David" w:eastAsia="David"/>
              <w:b/>
              <w:bCs/>
              <w:sz w:val="24"/>
              <w:szCs w:val="24"/>
              <w:rtl/>
            </w:rPr>
            <w:t>3</w:t>
          </w:r>
        </w:p>
        <w:p>
          <w:pPr>
            <w:tabs>
              <w:tab w:val="left" w:leader="dot" w:pos="8680"/>
            </w:tabs>
            <w:bidi/>
            <w:spacing w:after="40" w:line="300" w:lineRule="auto"/>
            <w:ind w:right="440"/>
          </w:pPr>
          <w:r>
            <w:rPr>
              <w:rFonts w:ascii="David" w:hAnsi="David" w:cs="David" w:eastAsia="David"/>
              <w:sz w:val="24"/>
              <w:szCs w:val="24"/>
              <w:rtl/>
            </w:rPr>
            <w:t xml:space="preserve">1. פרשת אלבה: מטרה או תוכן?</w:t>
          </w:r>
          <w:r>
            <w:rPr>
              <w:rFonts w:ascii="David" w:hAnsi="David" w:cs="David" w:eastAsia="David"/>
              <w:sz w:val="24"/>
              <w:szCs w:val="24"/>
              <w:rtl/>
            </w:rPr>
            <w:tab/>
          </w:r>
          <w:r>
            <w:rPr>
              <w:rFonts w:ascii="David" w:hAnsi="David" w:cs="David" w:eastAsia="David"/>
              <w:sz w:val="24"/>
              <w:szCs w:val="24"/>
              <w:rtl/>
            </w:rPr>
            <w:t>3</w:t>
          </w:r>
        </w:p>
        <w:p>
          <w:pPr>
            <w:tabs>
              <w:tab w:val="left" w:leader="dot" w:pos="8680"/>
            </w:tabs>
            <w:bidi/>
            <w:spacing w:after="40" w:line="300" w:lineRule="auto"/>
            <w:ind w:right="440"/>
          </w:pPr>
          <w:r>
            <w:rPr>
              <w:rFonts w:ascii="David" w:hAnsi="David" w:cs="David" w:eastAsia="David"/>
              <w:sz w:val="24"/>
              <w:szCs w:val="24"/>
              <w:rtl/>
            </w:rPr>
            <w:t xml:space="preserve">2. פרשת העברי: הקשר שמשלים את התוכן</w:t>
          </w:r>
          <w:r>
            <w:rPr>
              <w:rFonts w:ascii="David" w:hAnsi="David" w:cs="David" w:eastAsia="David"/>
              <w:sz w:val="24"/>
              <w:szCs w:val="24"/>
              <w:rtl/>
            </w:rPr>
            <w:tab/>
          </w:r>
          <w:r>
            <w:rPr>
              <w:rFonts w:ascii="David" w:hAnsi="David" w:cs="David" w:eastAsia="David"/>
              <w:sz w:val="24"/>
              <w:szCs w:val="24"/>
              <w:rtl/>
            </w:rPr>
            <w:t>4</w:t>
          </w:r>
        </w:p>
        <w:p>
          <w:pPr>
            <w:tabs>
              <w:tab w:val="left" w:leader="dot" w:pos="8680"/>
            </w:tabs>
            <w:bidi/>
            <w:spacing w:after="40" w:line="300" w:lineRule="auto"/>
            <w:ind w:right="440"/>
          </w:pPr>
          <w:r>
            <w:rPr>
              <w:rFonts w:ascii="David" w:hAnsi="David" w:cs="David" w:eastAsia="David"/>
              <w:sz w:val="24"/>
              <w:szCs w:val="24"/>
              <w:rtl/>
            </w:rPr>
            <w:t xml:space="preserve">3. פרשת סלאח: הסתה ברמז</w:t>
          </w:r>
          <w:r>
            <w:rPr>
              <w:rFonts w:ascii="David" w:hAnsi="David" w:cs="David" w:eastAsia="David"/>
              <w:sz w:val="24"/>
              <w:szCs w:val="24"/>
              <w:rtl/>
            </w:rPr>
            <w:tab/>
          </w:r>
          <w:r>
            <w:rPr>
              <w:rFonts w:ascii="David" w:hAnsi="David" w:cs="David" w:eastAsia="David"/>
              <w:sz w:val="24"/>
              <w:szCs w:val="24"/>
              <w:rtl/>
            </w:rPr>
            <w:t>4</w:t>
          </w:r>
        </w:p>
        <w:p>
          <w:pPr>
            <w:tabs>
              <w:tab w:val="left" w:leader="dot" w:pos="8680"/>
            </w:tabs>
            <w:bidi/>
            <w:spacing w:after="40" w:line="300" w:lineRule="auto"/>
            <w:ind w:right="440"/>
          </w:pPr>
          <w:r>
            <w:rPr>
              <w:rFonts w:ascii="David" w:hAnsi="David" w:cs="David" w:eastAsia="David"/>
              <w:sz w:val="24"/>
              <w:szCs w:val="24"/>
              <w:rtl/>
            </w:rPr>
            <w:t xml:space="preserve">4. בג"ץ "תורת המלך": גבולות הסייג הדתי</w:t>
          </w:r>
          <w:r>
            <w:rPr>
              <w:rFonts w:ascii="David" w:hAnsi="David" w:cs="David" w:eastAsia="David"/>
              <w:sz w:val="24"/>
              <w:szCs w:val="24"/>
              <w:rtl/>
            </w:rPr>
            <w:tab/>
          </w:r>
          <w:r>
            <w:rPr>
              <w:rFonts w:ascii="David" w:hAnsi="David" w:cs="David" w:eastAsia="David"/>
              <w:sz w:val="24"/>
              <w:szCs w:val="24"/>
              <w:rtl/>
            </w:rPr>
            <w:t>5</w:t>
          </w:r>
        </w:p>
        <w:p>
          <w:pPr>
            <w:tabs>
              <w:tab w:val="left" w:leader="dot" w:pos="8680"/>
            </w:tabs>
            <w:bidi/>
            <w:spacing w:after="40" w:line="300" w:lineRule="auto"/>
          </w:pPr>
          <w:r>
            <w:rPr>
              <w:rFonts w:ascii="David" w:hAnsi="David" w:cs="David" w:eastAsia="David"/>
              <w:b/>
              <w:bCs/>
              <w:sz w:val="24"/>
              <w:szCs w:val="24"/>
              <w:rtl/>
            </w:rPr>
            <w:t xml:space="preserve">פרק ד: היסוד הנפשי ושאלת הלכת הצפיות</w:t>
          </w:r>
          <w:r>
            <w:rPr>
              <w:rFonts w:ascii="David" w:hAnsi="David" w:cs="David" w:eastAsia="David"/>
              <w:b/>
              <w:bCs/>
              <w:sz w:val="24"/>
              <w:szCs w:val="24"/>
              <w:rtl/>
            </w:rPr>
            <w:tab/>
          </w:r>
          <w:r>
            <w:rPr>
              <w:rFonts w:ascii="David" w:hAnsi="David" w:cs="David" w:eastAsia="David"/>
              <w:b/>
              <w:bCs/>
              <w:sz w:val="24"/>
              <w:szCs w:val="24"/>
              <w:rtl/>
            </w:rPr>
            <w:t>6</w:t>
          </w:r>
        </w:p>
        <w:p>
          <w:pPr>
            <w:tabs>
              <w:tab w:val="left" w:leader="dot" w:pos="8680"/>
            </w:tabs>
            <w:bidi/>
            <w:spacing w:after="40" w:line="300" w:lineRule="auto"/>
          </w:pPr>
          <w:r>
            <w:rPr>
              <w:rFonts w:ascii="David" w:hAnsi="David" w:cs="David" w:eastAsia="David"/>
              <w:b/>
              <w:bCs/>
              <w:sz w:val="24"/>
              <w:szCs w:val="24"/>
              <w:rtl/>
            </w:rPr>
            <w:t xml:space="preserve">פרק ה: חופש הביטוי ומבט משווה</w:t>
          </w:r>
          <w:r>
            <w:rPr>
              <w:rFonts w:ascii="David" w:hAnsi="David" w:cs="David" w:eastAsia="David"/>
              <w:b/>
              <w:bCs/>
              <w:sz w:val="24"/>
              <w:szCs w:val="24"/>
              <w:rtl/>
            </w:rPr>
            <w:tab/>
          </w:r>
          <w:r>
            <w:rPr>
              <w:rFonts w:ascii="David" w:hAnsi="David" w:cs="David" w:eastAsia="David"/>
              <w:b/>
              <w:bCs/>
              <w:sz w:val="24"/>
              <w:szCs w:val="24"/>
              <w:rtl/>
            </w:rPr>
            <w:t>7</w:t>
          </w:r>
        </w:p>
        <w:p>
          <w:pPr>
            <w:tabs>
              <w:tab w:val="left" w:leader="dot" w:pos="8680"/>
            </w:tabs>
            <w:bidi/>
            <w:spacing w:after="40" w:line="300" w:lineRule="auto"/>
          </w:pPr>
          <w:r>
            <w:rPr>
              <w:rFonts w:ascii="David" w:hAnsi="David" w:cs="David" w:eastAsia="David"/>
              <w:b/>
              <w:bCs/>
              <w:sz w:val="24"/>
              <w:szCs w:val="24"/>
              <w:rtl/>
            </w:rPr>
            <w:t xml:space="preserve">פרק ו: ביקורת והצעות</w:t>
          </w:r>
          <w:r>
            <w:rPr>
              <w:rFonts w:ascii="David" w:hAnsi="David" w:cs="David" w:eastAsia="David"/>
              <w:b/>
              <w:bCs/>
              <w:sz w:val="24"/>
              <w:szCs w:val="24"/>
              <w:rtl/>
            </w:rPr>
            <w:tab/>
          </w:r>
          <w:r>
            <w:rPr>
              <w:rFonts w:ascii="David" w:hAnsi="David" w:cs="David" w:eastAsia="David"/>
              <w:b/>
              <w:bCs/>
              <w:sz w:val="24"/>
              <w:szCs w:val="24"/>
              <w:rtl/>
            </w:rPr>
            <w:t>8</w:t>
          </w:r>
        </w:p>
        <w:p>
          <w:pPr>
            <w:tabs>
              <w:tab w:val="left" w:leader="dot" w:pos="8680"/>
            </w:tabs>
            <w:bidi/>
            <w:spacing w:after="40" w:line="300" w:lineRule="auto"/>
            <w:ind w:right="440"/>
          </w:pPr>
          <w:r>
            <w:rPr>
              <w:rFonts w:ascii="David" w:hAnsi="David" w:cs="David" w:eastAsia="David"/>
              <w:sz w:val="24"/>
              <w:szCs w:val="24"/>
              <w:rtl/>
            </w:rPr>
            <w:t xml:space="preserve">1. האכיפה ושיקול הדעת של היועץ המשפטי</w:t>
          </w:r>
          <w:r>
            <w:rPr>
              <w:rFonts w:ascii="David" w:hAnsi="David" w:cs="David" w:eastAsia="David"/>
              <w:sz w:val="24"/>
              <w:szCs w:val="24"/>
              <w:rtl/>
            </w:rPr>
            <w:tab/>
          </w:r>
          <w:r>
            <w:rPr>
              <w:rFonts w:ascii="David" w:hAnsi="David" w:cs="David" w:eastAsia="David"/>
              <w:sz w:val="24"/>
              <w:szCs w:val="24"/>
              <w:rtl/>
            </w:rPr>
            <w:t>8</w:t>
          </w:r>
        </w:p>
        <w:p>
          <w:pPr>
            <w:tabs>
              <w:tab w:val="left" w:leader="dot" w:pos="8680"/>
            </w:tabs>
            <w:bidi/>
            <w:spacing w:after="40" w:line="300" w:lineRule="auto"/>
            <w:ind w:right="440"/>
          </w:pPr>
          <w:r>
            <w:rPr>
              <w:rFonts w:ascii="David" w:hAnsi="David" w:cs="David" w:eastAsia="David"/>
              <w:sz w:val="24"/>
              <w:szCs w:val="24"/>
              <w:rtl/>
            </w:rPr>
            <w:t xml:space="preserve">2. עקרון החוקיות</w:t>
          </w:r>
          <w:r>
            <w:rPr>
              <w:rFonts w:ascii="David" w:hAnsi="David" w:cs="David" w:eastAsia="David"/>
              <w:sz w:val="24"/>
              <w:szCs w:val="24"/>
              <w:rtl/>
            </w:rPr>
            <w:tab/>
          </w:r>
          <w:r>
            <w:rPr>
              <w:rFonts w:ascii="David" w:hAnsi="David" w:cs="David" w:eastAsia="David"/>
              <w:sz w:val="24"/>
              <w:szCs w:val="24"/>
              <w:rtl/>
            </w:rPr>
            <w:t>9</w:t>
          </w:r>
        </w:p>
        <w:p>
          <w:pPr>
            <w:tabs>
              <w:tab w:val="left" w:leader="dot" w:pos="8680"/>
            </w:tabs>
            <w:bidi/>
            <w:spacing w:after="40" w:line="300" w:lineRule="auto"/>
            <w:ind w:right="440"/>
          </w:pPr>
          <w:r>
            <w:rPr>
              <w:rFonts w:ascii="David" w:hAnsi="David" w:cs="David" w:eastAsia="David"/>
              <w:sz w:val="24"/>
              <w:szCs w:val="24"/>
              <w:rtl/>
            </w:rPr>
            <w:t xml:space="preserve">3. הרשתות החברתיות</w:t>
          </w:r>
          <w:r>
            <w:rPr>
              <w:rFonts w:ascii="David" w:hAnsi="David" w:cs="David" w:eastAsia="David"/>
              <w:sz w:val="24"/>
              <w:szCs w:val="24"/>
              <w:rtl/>
            </w:rPr>
            <w:tab/>
          </w:r>
          <w:r>
            <w:rPr>
              <w:rFonts w:ascii="David" w:hAnsi="David" w:cs="David" w:eastAsia="David"/>
              <w:sz w:val="24"/>
              <w:szCs w:val="24"/>
              <w:rtl/>
            </w:rPr>
            <w:t>9</w:t>
          </w:r>
        </w:p>
        <w:p>
          <w:pPr>
            <w:tabs>
              <w:tab w:val="left" w:leader="dot" w:pos="8680"/>
            </w:tabs>
            <w:bidi/>
            <w:spacing w:after="40" w:line="300" w:lineRule="auto"/>
            <w:ind w:right="440"/>
          </w:pPr>
          <w:r>
            <w:rPr>
              <w:rFonts w:ascii="David" w:hAnsi="David" w:cs="David" w:eastAsia="David"/>
              <w:sz w:val="24"/>
              <w:szCs w:val="24"/>
              <w:rtl/>
            </w:rPr>
            <w:t xml:space="preserve">4. דרכים שאינן פליליות</w:t>
          </w:r>
          <w:r>
            <w:rPr>
              <w:rFonts w:ascii="David" w:hAnsi="David" w:cs="David" w:eastAsia="David"/>
              <w:sz w:val="24"/>
              <w:szCs w:val="24"/>
              <w:rtl/>
            </w:rPr>
            <w:tab/>
          </w:r>
          <w:r>
            <w:rPr>
              <w:rFonts w:ascii="David" w:hAnsi="David" w:cs="David" w:eastAsia="David"/>
              <w:sz w:val="24"/>
              <w:szCs w:val="24"/>
              <w:rtl/>
            </w:rPr>
            <w:t>10</w:t>
          </w:r>
        </w:p>
        <w:p>
          <w:pPr>
            <w:tabs>
              <w:tab w:val="left" w:leader="dot" w:pos="8680"/>
            </w:tabs>
            <w:bidi/>
            <w:spacing w:after="40" w:line="300" w:lineRule="auto"/>
          </w:pPr>
          <w:r>
            <w:rPr>
              <w:rFonts w:ascii="David" w:hAnsi="David" w:cs="David" w:eastAsia="David"/>
              <w:b/>
              <w:bCs/>
              <w:sz w:val="24"/>
              <w:szCs w:val="24"/>
              <w:rtl/>
            </w:rPr>
            <w:t xml:space="preserve">סיכום</w:t>
          </w:r>
          <w:r>
            <w:rPr>
              <w:rFonts w:ascii="David" w:hAnsi="David" w:cs="David" w:eastAsia="David"/>
              <w:b/>
              <w:bCs/>
              <w:sz w:val="24"/>
              <w:szCs w:val="24"/>
              <w:rtl/>
            </w:rPr>
            <w:tab/>
          </w:r>
          <w:r>
            <w:rPr>
              <w:rFonts w:ascii="David" w:hAnsi="David" w:cs="David" w:eastAsia="David"/>
              <w:b/>
              <w:bCs/>
              <w:sz w:val="24"/>
              <w:szCs w:val="24"/>
              <w:rtl/>
            </w:rPr>
            <w:t>10</w:t>
          </w:r>
        </w:p>
        <w:p>
          <w:pPr>
            <w:tabs>
              <w:tab w:val="left" w:leader="dot" w:pos="8680"/>
            </w:tabs>
            <w:bidi/>
            <w:spacing w:after="40" w:line="300" w:lineRule="auto"/>
          </w:pPr>
          <w:r>
            <w:rPr>
              <w:rFonts w:ascii="David" w:hAnsi="David" w:cs="David" w:eastAsia="David"/>
              <w:b/>
              <w:bCs/>
              <w:sz w:val="24"/>
              <w:szCs w:val="24"/>
              <w:rtl/>
            </w:rPr>
            <w:t xml:space="preserve">רשימה ביבליוגרפית</w:t>
          </w:r>
          <w:r>
            <w:rPr>
              <w:rFonts w:ascii="David" w:hAnsi="David" w:cs="David" w:eastAsia="David"/>
              <w:b/>
              <w:bCs/>
              <w:sz w:val="24"/>
              <w:szCs w:val="24"/>
              <w:rtl/>
            </w:rPr>
            <w:tab/>
          </w:r>
          <w:r>
            <w:rPr>
              <w:rFonts w:ascii="David" w:hAnsi="David" w:cs="David" w:eastAsia="David"/>
              <w:b/>
              <w:bCs/>
              <w:sz w:val="24"/>
              <w:szCs w:val="24"/>
              <w:rtl/>
            </w:rPr>
            <w:t>11</w:t>
          </w:r>
        </w:p>
        <w:p>
          <w:pPr>
            <w:bidi/>
          </w:pPr>
          <w:r>
            <w:fldChar w:fldCharType="end"/>
          </w:r>
        </w:p>
      </w:sdtContent>
    </w:sdt>
    <w:p>
      <w:pPr>
        <w:sectPr>
          <w:pgSz w:w="11906" w:h="16838" w:orient="portrait"/>
          <w:pgMar w:top="1440" w:right="1440" w:bottom="1440" w:left="1440" w:header="708" w:footer="708" w:gutter="0"/>
          <w:pgNumType/>
          <w:bidi/>
          <w:docGrid w:linePitch="360"/>
        </w:sectPr>
      </w:pPr>
    </w:p>
    <w:p>
      <w:pPr>
        <w:pStyle w:val="Heading1"/>
        <w:keepNext/>
        <w:bidi/>
        <w:spacing w:after="120" w:before="240" w:line="360"/>
        <w:jc w:val="right"/>
      </w:pPr>
      <w:r>
        <w:rPr>
          <w:rFonts w:ascii="David" w:cs="David" w:eastAsia="David" w:hAnsi="David"/>
          <w:b/>
          <w:bCs/>
          <w:i w:val="false"/>
          <w:smallCaps w:val="false"/>
          <w:sz w:val="28"/>
          <w:szCs w:val="28"/>
          <w:rtl/>
        </w:rPr>
        <w:t xml:space="preserve">מבוא</w:t>
      </w:r>
    </w:p>
    <w:p>
      <w:pPr>
        <w:bidi/>
        <w:spacing w:after="120" w:line="360" w:lineRule="auto"/>
        <w:ind w:firstLine="0"/>
        <w:jc w:val="both"/>
      </w:pPr>
      <w:r>
        <w:rPr>
          <w:rFonts w:ascii="David" w:cs="David" w:eastAsia="David" w:hAnsi="David"/>
          <w:i w:val="false"/>
          <w:smallCaps w:val="false"/>
          <w:sz w:val="24"/>
          <w:szCs w:val="24"/>
          <w:rtl/>
        </w:rPr>
        <w:t xml:space="preserve">סעיף 144ב(א) לחוק העונשין קובע: "המפרסם דבר מתוך מטרה להסית לגזענות, דינו – מאסר חמש שנים".</w:t>
      </w:r>
      <w:r>
        <w:rPr>
          <w:rStyle w:val="FootnoteReference"/>
        </w:rPr>
        <w:footnoteReference w:id="1"/>
      </w:r>
      <w:r>
        <w:rPr>
          <w:rFonts w:ascii="David" w:cs="David" w:eastAsia="David" w:hAnsi="David"/>
          <w:i w:val="false"/>
          <w:smallCaps w:val="false"/>
          <w:sz w:val="24"/>
          <w:szCs w:val="24"/>
          <w:rtl/>
        </w:rPr>
        <w:t xml:space="preserve"> הסעיף נחקק ב-1986, ומאז הוגשו לפיו כתבי אישום ספורים בלבד. ובכל זאת, כמעט כל הליך מרכזי שנפתח לפיו הגיע לבית המשפט העליון והשאיר אחריו מחלוקת. השאלות שבמחלוקת נוגעות ללב העבירה: האם אפשר להרשיע אדם בגלל טקסט שאינו גזעני על פניו, אם הוכח שרצה להסית? האם די בכך שצפה שדבריו יסיתו, גם אם לא זו הייתה מטרתו? ואיך איסור פלילי על ביטוי מתיישב עם חופש הביטוי?</w:t>
      </w:r>
    </w:p>
    <w:p>
      <w:pPr>
        <w:bidi/>
        <w:spacing w:after="120" w:line="360" w:lineRule="auto"/>
        <w:ind w:firstLine="0"/>
        <w:jc w:val="both"/>
      </w:pPr>
      <w:r>
        <w:rPr>
          <w:rFonts w:ascii="David" w:cs="David" w:eastAsia="David" w:hAnsi="David"/>
          <w:i w:val="false"/>
          <w:smallCaps w:val="false"/>
          <w:sz w:val="24"/>
          <w:szCs w:val="24"/>
          <w:rtl/>
        </w:rPr>
        <w:t xml:space="preserve">אבחן את השאלות האלה דרך ארבעה הליכים. פרשת אלבה (1996) עיצבה את יסודות העבירה. פרשת העברי (2005) עסקה בהחזקת חולצות שעליהן סיסמה גזענית. בג"ץ "תורת המלך" (2015) דן בהחלטה שלא להעמיד לדין את מחברי ספר הלכתי, ופרשת ראאד סלאח (2016) הסתיימה בהרשעה של מנהיג דתי בגלל דרשה. שאלת המחקר היא אם העבירה, כפי שהיא מנוסחת ומפורשת היום, מגדירה בבהירות מספקת מה אסור, ואם היא מאזנת כראוי בין ההגנה על כבוד האדם ועל השוויון לבין חופש הביטוי.</w:t>
      </w:r>
    </w:p>
    <w:p>
      <w:pPr>
        <w:bidi/>
        <w:spacing w:after="120" w:line="360" w:lineRule="auto"/>
        <w:ind w:firstLine="0"/>
        <w:jc w:val="both"/>
      </w:pPr>
      <w:r>
        <w:rPr>
          <w:rFonts w:ascii="David" w:cs="David" w:eastAsia="David" w:hAnsi="David"/>
          <w:i w:val="false"/>
          <w:smallCaps w:val="false"/>
          <w:sz w:val="24"/>
          <w:szCs w:val="24"/>
          <w:rtl/>
        </w:rPr>
        <w:t xml:space="preserve">הטענה שלי כפולה. בשאלת היסוד העובדתי הפסיקה הגיעה לאיזון סביר, כשאימצה בפועל את הדרישה שהטקסט עצמו יבטא הסתה לגזענות. בשאלת היסוד הנפשי המצב שונה: כבר שלושים שנה לא הוכרע אם הלכת הצפיות חלה על העבירה, ואי-הוודאות הזו פוגעת בעקרון החוקיות ומשפיעה גם על מדיניות האכיפה. בפרק האחרון אציע להכריע בשאלה ולהחיל את הלכת הצפיות, לצד דרישת התוכן האובייקטיבי וההגנה שסעיף 144ג לחוק נותן לדיווח ולציטוט.</w:t>
      </w:r>
    </w:p>
    <w:p>
      <w:pPr>
        <w:bidi/>
        <w:spacing w:after="120" w:line="360" w:lineRule="auto"/>
        <w:ind w:firstLine="0"/>
        <w:jc w:val="both"/>
      </w:pPr>
      <w:r>
        <w:rPr>
          <w:rFonts w:ascii="David" w:cs="David" w:eastAsia="David" w:hAnsi="David"/>
          <w:i w:val="false"/>
          <w:smallCaps w:val="false"/>
          <w:sz w:val="24"/>
          <w:szCs w:val="24"/>
          <w:rtl/>
        </w:rPr>
        <w:t xml:space="preserve">העבודה בנויה כך. פרק א מציג את הרקע לחקיקה ואת תכליותיה. פרק ב מתאר את סעיפי החוק ומבחין בין העבירה לבין עבירות קרובות. פרק ג מנתח את ארבע הפרשות, ובמרכזו המחלוקת בפרשת אלבה בשאלה אם די במטרת המפרסם או שנדרש גם תוכן מסית. פרק ד עוסק ביסוד הנפשי ובשאלת הלכת הצפיות. פרק ה בוחן את היחס לחופש הביטוי ומשווה לשיטות משפט אחרות, ופרק ו מציג ביקורת והצעות לשינוי.</w:t>
      </w:r>
    </w:p>
    <w:p>
      <w:pPr>
        <w:pStyle w:val="Heading1"/>
        <w:keepNext/>
        <w:bidi/>
        <w:spacing w:after="120" w:before="240" w:line="360"/>
        <w:jc w:val="right"/>
      </w:pPr>
      <w:r>
        <w:rPr>
          <w:rFonts w:ascii="David" w:cs="David" w:eastAsia="David" w:hAnsi="David"/>
          <w:b/>
          <w:bCs/>
          <w:i w:val="false"/>
          <w:smallCaps w:val="false"/>
          <w:sz w:val="28"/>
          <w:szCs w:val="28"/>
          <w:rtl/>
        </w:rPr>
        <w:t xml:space="preserve">פרק א: רקע ותכלית</w:t>
      </w:r>
    </w:p>
    <w:p>
      <w:pPr>
        <w:bidi/>
        <w:spacing w:after="120" w:line="360" w:lineRule="auto"/>
        <w:ind w:firstLine="0"/>
        <w:jc w:val="both"/>
      </w:pPr>
      <w:r>
        <w:rPr>
          <w:rFonts w:ascii="David" w:cs="David" w:eastAsia="David" w:hAnsi="David"/>
          <w:i w:val="false"/>
          <w:smallCaps w:val="false"/>
          <w:sz w:val="24"/>
          <w:szCs w:val="24"/>
          <w:rtl/>
        </w:rPr>
        <w:t xml:space="preserve">האיסור נוסף לחוק בתיקון מס' 20,</w:t>
      </w:r>
      <w:r>
        <w:rPr>
          <w:rStyle w:val="FootnoteReference"/>
        </w:rPr>
        <w:footnoteReference w:id="2"/>
      </w:r>
      <w:r>
        <w:rPr>
          <w:rFonts w:ascii="David" w:cs="David" w:eastAsia="David" w:hAnsi="David"/>
          <w:i w:val="false"/>
          <w:smallCaps w:val="false"/>
          <w:sz w:val="24"/>
          <w:szCs w:val="24"/>
          <w:rtl/>
        </w:rPr>
        <w:t xml:space="preserve"> על רקע פעילותה של תנועת "כך" בראשות מאיר כהנא. שנה קודם לכן תוקן חוק-יסוד: הכנסת, ונוסף לו סעיף 7א, שלפיו רשימה שיש במטרותיה או במעשיה הסתה לגזענות לא תשתתף בבחירות.</w:t>
      </w:r>
      <w:r>
        <w:rPr>
          <w:rStyle w:val="FootnoteReference"/>
        </w:rPr>
        <w:footnoteReference w:id="3"/>
      </w:r>
      <w:r>
        <w:rPr>
          <w:rFonts w:ascii="David" w:cs="David" w:eastAsia="David" w:hAnsi="David"/>
          <w:i w:val="false"/>
          <w:smallCaps w:val="false"/>
          <w:sz w:val="24"/>
          <w:szCs w:val="24"/>
          <w:rtl/>
        </w:rPr>
        <w:t xml:space="preserve"> המחוקק פעל אפוא בשני מישורים, החוקתי והפלילי, נגד אותה תופעה. ברקע עמדה גם התחייבותה של ישראל לפי האמנה לביעור אפליה גזעית, שסעיף 4(א) שלה מחייב את המדינות להפליל הפצה של רעיונות בדבר עליונות גזעית והסתה לאפליה.</w:t>
      </w:r>
      <w:r>
        <w:rPr>
          <w:rStyle w:val="FootnoteReference"/>
        </w:rPr>
        <w:footnoteReference w:id="4"/>
      </w:r>
    </w:p>
    <w:p>
      <w:pPr>
        <w:bidi/>
        <w:spacing w:after="120" w:line="360" w:lineRule="auto"/>
        <w:ind w:firstLine="0"/>
        <w:jc w:val="both"/>
      </w:pPr>
      <w:r>
        <w:rPr>
          <w:rFonts w:ascii="David" w:cs="David" w:eastAsia="David" w:hAnsi="David"/>
          <w:i w:val="false"/>
          <w:smallCaps w:val="false"/>
          <w:sz w:val="24"/>
          <w:szCs w:val="24"/>
          <w:rtl/>
        </w:rPr>
        <w:t xml:space="preserve">דנה מרשק-מרום מונה כמה תכליות לאיסור: הגנה על קיום המדינה כמדינה יהודית ודמוקרטית, על כבוד האדם ועל השוויון בין בני האדם, ועל הסדר החברתי ושלום הציבור. לדבריה, המרחק בין ביטויי גזענות לבין גילויי אלימות "אינו רב", ואידאולוגיה גזענית עלולה להסלים לפגיעה ממשית, בידי הדובר עצמו או בידי מי ששומע אותו.</w:t>
      </w:r>
      <w:r>
        <w:rPr>
          <w:rStyle w:val="FootnoteReference"/>
        </w:rPr>
        <w:footnoteReference w:id="5"/>
      </w:r>
      <w:r>
        <w:rPr>
          <w:rFonts w:ascii="David" w:cs="David" w:eastAsia="David" w:hAnsi="David"/>
          <w:i w:val="false"/>
          <w:smallCaps w:val="false"/>
          <w:sz w:val="24"/>
          <w:szCs w:val="24"/>
          <w:rtl/>
        </w:rPr>
        <w:t xml:space="preserve"> השופט מצא הגדיר בפרשת אלבה גזענות כ"כל שנאת חינם של הזר בשל היותו זר", על רקע שונות גזעית או לאומית-אתנית. הוא הדגיש שהחוק לא נועד להגן על מיעוטים בלבד אלא על כל קבוצה, ולכן גם הסתה לאנטישמיות נכנסת לגדר העבירה, אף שבישראל היהודים הם הרוב.</w:t>
      </w:r>
      <w:r>
        <w:rPr>
          <w:rStyle w:val="FootnoteReference"/>
        </w:rPr>
        <w:footnoteReference w:id="6"/>
      </w:r>
    </w:p>
    <w:p>
      <w:pPr>
        <w:pStyle w:val="Heading1"/>
        <w:keepNext/>
        <w:bidi/>
        <w:spacing w:after="120" w:before="240" w:line="360"/>
        <w:jc w:val="right"/>
      </w:pPr>
      <w:r>
        <w:rPr>
          <w:rFonts w:ascii="David" w:cs="David" w:eastAsia="David" w:hAnsi="David"/>
          <w:b/>
          <w:bCs/>
          <w:i w:val="false"/>
          <w:smallCaps w:val="false"/>
          <w:sz w:val="28"/>
          <w:szCs w:val="28"/>
          <w:rtl/>
        </w:rPr>
        <w:t xml:space="preserve">פרק ב: המסגרת הנורמטיבית</w:t>
      </w:r>
    </w:p>
    <w:p>
      <w:pPr>
        <w:bidi/>
        <w:spacing w:after="120" w:line="360" w:lineRule="auto"/>
        <w:ind w:firstLine="0"/>
        <w:jc w:val="both"/>
      </w:pPr>
      <w:r>
        <w:rPr>
          <w:rFonts w:ascii="David" w:cs="David" w:eastAsia="David" w:hAnsi="David"/>
          <w:i w:val="false"/>
          <w:smallCaps w:val="false"/>
          <w:sz w:val="24"/>
          <w:szCs w:val="24"/>
          <w:rtl/>
        </w:rPr>
        <w:t xml:space="preserve">סעיף 144א מגדיר גזענות כ"רדיפה, השפלה, ביזוי, גילוי איבה, עוינות או אלימות, או גרימת מדנים כלפי ציבור או חלקים של האוכלוסיה, והכל בשל צבע או השתייכות לגזע או למוצא לאומי-אתני".</w:t>
      </w:r>
      <w:r>
        <w:rPr>
          <w:rStyle w:val="FootnoteReference"/>
        </w:rPr>
        <w:footnoteReference w:id="7"/>
      </w:r>
      <w:r>
        <w:rPr>
          <w:rFonts w:ascii="David" w:cs="David" w:eastAsia="David" w:hAnsi="David"/>
          <w:i w:val="false"/>
          <w:smallCaps w:val="false"/>
          <w:sz w:val="24"/>
          <w:szCs w:val="24"/>
          <w:rtl/>
        </w:rPr>
        <w:t xml:space="preserve"> ההגדרה רחבה ואינה מוגבלת להבחנות ביולוגיות. כבר בפרשת ניימן קבע בית המשפט העליון ש"הרדיפה לצורותיה, שטעמיה הם לאומיים, כלולה בימינו במסגרת המשמעות המקובלת של התופעה של גזענות".</w:t>
      </w:r>
      <w:r>
        <w:rPr>
          <w:rStyle w:val="FootnoteReference"/>
        </w:rPr>
        <w:footnoteReference w:id="8"/>
      </w:r>
    </w:p>
    <w:p>
      <w:pPr>
        <w:bidi/>
        <w:spacing w:after="120" w:line="360" w:lineRule="auto"/>
        <w:ind w:firstLine="0"/>
        <w:jc w:val="both"/>
      </w:pPr>
      <w:r>
        <w:rPr>
          <w:rFonts w:ascii="David" w:cs="David" w:eastAsia="David" w:hAnsi="David"/>
          <w:i w:val="false"/>
          <w:smallCaps w:val="false"/>
          <w:sz w:val="24"/>
          <w:szCs w:val="24"/>
          <w:rtl/>
        </w:rPr>
        <w:t xml:space="preserve">סעיף 144ב(ב) מוסיף ש"אין נפקא מינה אם הפרסום הביא לגזענות או לא, ואם היה בו אמת או לא". השופט מצא למד מכך שזו "עבירה התנהגותית טהורה": לא נדרשת תוצאה, וגם לא נדרשת הסתברות שתתרחש.</w:t>
      </w:r>
      <w:r>
        <w:rPr>
          <w:rStyle w:val="FootnoteReference"/>
        </w:rPr>
        <w:footnoteReference w:id="9"/>
      </w:r>
      <w:r>
        <w:rPr>
          <w:rFonts w:ascii="David" w:cs="David" w:eastAsia="David" w:hAnsi="David"/>
          <w:i w:val="false"/>
          <w:smallCaps w:val="false"/>
          <w:sz w:val="24"/>
          <w:szCs w:val="24"/>
          <w:rtl/>
        </w:rPr>
        <w:t xml:space="preserve"> מול ההיקף הרחב של היסוד העובדתי עומדת דרישה נפשית מחמירה, "מטרה להסית", שבה אעסוק בפרק ד.</w:t>
      </w:r>
    </w:p>
    <w:p>
      <w:pPr>
        <w:bidi/>
        <w:spacing w:after="120" w:line="360" w:lineRule="auto"/>
        <w:ind w:firstLine="0"/>
        <w:jc w:val="both"/>
      </w:pPr>
      <w:r>
        <w:rPr>
          <w:rFonts w:ascii="David" w:cs="David" w:eastAsia="David" w:hAnsi="David"/>
          <w:i w:val="false"/>
          <w:smallCaps w:val="false"/>
          <w:sz w:val="24"/>
          <w:szCs w:val="24"/>
          <w:rtl/>
        </w:rPr>
        <w:t xml:space="preserve">שני סייגים מצמצמים את האיסור. סעיף 144ג(א) מתיר פרסום של דין וחשבון נכון והוגן על פרסום אסור, וסעיף 144ג(ב) מתיר ציטוט מכתבי דת ומספרי תפילה וקיום פולחן דתי. שני הסייגים חלים רק אם הפרסום לא נעשה במטרה להסית.</w:t>
      </w:r>
      <w:r>
        <w:rPr>
          <w:rStyle w:val="FootnoteReference"/>
        </w:rPr>
        <w:footnoteReference w:id="10"/>
      </w:r>
      <w:r>
        <w:rPr>
          <w:rFonts w:ascii="David" w:cs="David" w:eastAsia="David" w:hAnsi="David"/>
          <w:i w:val="false"/>
          <w:smallCaps w:val="false"/>
          <w:sz w:val="24"/>
          <w:szCs w:val="24"/>
          <w:rtl/>
        </w:rPr>
        <w:t xml:space="preserve"> לצד האיסור העיקרי, סעיף 144ד אוסר להחזיק פרסום גזעני לשם הפצה, וסעיף 144ה קובע שכתב אישום יוגש רק בהסכמה בכתב של היועץ המשפטי לממשלה. השופט בך העריך בפרשת אלבה שדרישת ההסכמה "תמנע שימוש רחב מדיי" בסעיף.</w:t>
      </w:r>
      <w:r>
        <w:rPr>
          <w:rStyle w:val="FootnoteReference"/>
        </w:rPr>
        <w:footnoteReference w:id="11"/>
      </w:r>
    </w:p>
    <w:p>
      <w:pPr>
        <w:bidi/>
        <w:spacing w:after="120" w:line="360" w:lineRule="auto"/>
        <w:ind w:firstLine="0"/>
        <w:jc w:val="both"/>
      </w:pPr>
      <w:r>
        <w:rPr>
          <w:rFonts w:ascii="David" w:cs="David" w:eastAsia="David" w:hAnsi="David"/>
          <w:i w:val="false"/>
          <w:smallCaps w:val="false"/>
          <w:sz w:val="24"/>
          <w:szCs w:val="24"/>
          <w:rtl/>
        </w:rPr>
        <w:t xml:space="preserve">כדאי להבחין בין העבירה לבין שלוש עבירות קרובות. עבירת ההסתה לאלימות שבסעיף 144ד2 דורשת במפורש "אפשרות ממשית" שהפרסום יביא למעשה אלימות. דרישה זו נוספה ב-2002, בין היתר לאחר הדיון בפרשת ג'בארין ביחס בין פרסום מסית לבין הסיכון הנובע ממנו.</w:t>
      </w:r>
      <w:r>
        <w:rPr>
          <w:rStyle w:val="FootnoteReference"/>
        </w:rPr>
        <w:footnoteReference w:id="12"/>
      </w:r>
      <w:r>
        <w:rPr>
          <w:rFonts w:ascii="David" w:cs="David" w:eastAsia="David" w:hAnsi="David"/>
          <w:i w:val="false"/>
          <w:smallCaps w:val="false"/>
          <w:sz w:val="24"/>
          <w:szCs w:val="24"/>
          <w:rtl/>
        </w:rPr>
        <w:t xml:space="preserve"> עבירת ההמרדה שבסעיף 134 כוללת יסוד של "תוצאה בכוח", ובכך היא שונה מסעיף 144ב.</w:t>
      </w:r>
      <w:r>
        <w:rPr>
          <w:rStyle w:val="FootnoteReference"/>
        </w:rPr>
        <w:footnoteReference w:id="13"/>
      </w:r>
      <w:r>
        <w:rPr>
          <w:rFonts w:ascii="David" w:cs="David" w:eastAsia="David" w:hAnsi="David"/>
          <w:i w:val="false"/>
          <w:smallCaps w:val="false"/>
          <w:sz w:val="24"/>
          <w:szCs w:val="24"/>
          <w:rtl/>
        </w:rPr>
        <w:t xml:space="preserve"> סעיף 144ו אינו אוסר ביטוי כלל. הוא מחמיר את העונש על עבירות אחרות שנעברו מתוך מניע של גזענות. ההבדל בין "מניע" לבין "מטרה להסית" משקף בחירה של המחוקק: מעשה שנעשה משנאה מוחמר, ואילו ביטוי נאסר רק כשהוא נועד להסית.</w:t>
      </w:r>
      <w:r>
        <w:rPr>
          <w:rStyle w:val="FootnoteReference"/>
        </w:rPr>
        <w:footnoteReference w:id="14"/>
      </w:r>
    </w:p>
    <w:p>
      <w:pPr>
        <w:pStyle w:val="Heading1"/>
        <w:keepNext/>
        <w:bidi/>
        <w:spacing w:after="120" w:before="240" w:line="360"/>
        <w:jc w:val="right"/>
      </w:pPr>
      <w:r>
        <w:rPr>
          <w:rFonts w:ascii="David" w:cs="David" w:eastAsia="David" w:hAnsi="David"/>
          <w:b/>
          <w:bCs/>
          <w:i w:val="false"/>
          <w:smallCaps w:val="false"/>
          <w:sz w:val="28"/>
          <w:szCs w:val="28"/>
          <w:rtl/>
        </w:rPr>
        <w:t xml:space="preserve">פרק ג: יסודות העבירה בפסיקה</w:t>
      </w:r>
    </w:p>
    <w:p>
      <w:pPr>
        <w:pStyle w:val="Heading2"/>
        <w:keepNext/>
        <w:bidi/>
        <w:spacing w:after="120" w:before="160" w:line="360"/>
        <w:jc w:val="right"/>
      </w:pPr>
      <w:r>
        <w:rPr>
          <w:rFonts w:ascii="David" w:cs="David" w:eastAsia="David" w:hAnsi="David"/>
          <w:b/>
          <w:bCs/>
          <w:i w:val="false"/>
          <w:smallCaps w:val="false"/>
          <w:sz w:val="24"/>
          <w:szCs w:val="24"/>
          <w:rtl/>
        </w:rPr>
        <w:t xml:space="preserve">1. פרשת אלבה: מטרה או תוכן?</w:t>
      </w:r>
    </w:p>
    <w:p>
      <w:pPr>
        <w:bidi/>
        <w:spacing w:after="120" w:line="360" w:lineRule="auto"/>
        <w:ind w:firstLine="0"/>
        <w:jc w:val="both"/>
      </w:pPr>
      <w:r>
        <w:rPr>
          <w:rFonts w:ascii="David" w:cs="David" w:eastAsia="David" w:hAnsi="David"/>
          <w:i w:val="false"/>
          <w:smallCaps w:val="false"/>
          <w:sz w:val="24"/>
          <w:szCs w:val="24"/>
          <w:rtl/>
        </w:rPr>
        <w:t xml:space="preserve">הרב עידו אלבה, מורה הלכה בכולל שליד מערת המכפלה, חיבר והפיץ מאמר בשם "בירור הלכות הריגת גוי". בית המשפט המחוזי הרשיע אותו בהסתה לגזענות ובעבירות נשק, והערעור נדחה בהרכב של שבעה שופטים, ברוב של חמישה נגד שניים.</w:t>
      </w:r>
      <w:r>
        <w:rPr>
          <w:rStyle w:val="FootnoteReference"/>
        </w:rPr>
        <w:footnoteReference w:id="15"/>
      </w:r>
      <w:r>
        <w:rPr>
          <w:rFonts w:ascii="David" w:cs="David" w:eastAsia="David" w:hAnsi="David"/>
          <w:i w:val="false"/>
          <w:smallCaps w:val="false"/>
          <w:sz w:val="24"/>
          <w:szCs w:val="24"/>
          <w:rtl/>
        </w:rPr>
        <w:t xml:space="preserve"> השופטים הסכימו על התוצאה, אבל נחלקו בשאלה מהותית: מה צריך להיות בטקסט עצמו.</w:t>
      </w:r>
    </w:p>
    <w:p>
      <w:pPr>
        <w:bidi/>
        <w:spacing w:after="120" w:line="360" w:lineRule="auto"/>
        <w:ind w:firstLine="0"/>
        <w:jc w:val="both"/>
      </w:pPr>
      <w:r>
        <w:rPr>
          <w:rFonts w:ascii="David" w:cs="David" w:eastAsia="David" w:hAnsi="David"/>
          <w:i w:val="false"/>
          <w:smallCaps w:val="false"/>
          <w:sz w:val="24"/>
          <w:szCs w:val="24"/>
          <w:rtl/>
        </w:rPr>
        <w:t xml:space="preserve">השופט מצא, שכתב את חוות הדעת העיקרית, שם את מרכז הכובד במטרת המפרסם. לשיטתו, "אף פירסום שתוכנו אינו גזעני עשוי למלא את יסודה העובדתי של העבירה". התוכן חשוב כראיה למטרה, אבל אין צורך לפרש אותו כדי לקבוע שהיסוד העובדתי התקיים.</w:t>
      </w:r>
      <w:r>
        <w:rPr>
          <w:rStyle w:val="FootnoteReference"/>
        </w:rPr>
        <w:footnoteReference w:id="16"/>
      </w:r>
      <w:r>
        <w:rPr>
          <w:rFonts w:ascii="David" w:cs="David" w:eastAsia="David" w:hAnsi="David"/>
          <w:i w:val="false"/>
          <w:smallCaps w:val="false"/>
          <w:sz w:val="24"/>
          <w:szCs w:val="24"/>
          <w:rtl/>
        </w:rPr>
        <w:t xml:space="preserve"> היתרון שמצא ראה בגישה זו הוא שבית המשפט אינו נדרש להכריע בשאלות של דת ואמונה, למשל אם ערכיה של דת מסוימת כוללים ערך גזעני.</w:t>
      </w:r>
      <w:r>
        <w:rPr>
          <w:rStyle w:val="FootnoteReference"/>
        </w:rPr>
        <w:footnoteReference w:id="17"/>
      </w:r>
      <w:r>
        <w:rPr>
          <w:rFonts w:ascii="David" w:cs="David" w:eastAsia="David" w:hAnsi="David"/>
          <w:i w:val="false"/>
          <w:smallCaps w:val="false"/>
          <w:sz w:val="24"/>
          <w:szCs w:val="24"/>
          <w:rtl/>
        </w:rPr>
        <w:t xml:space="preserve"> את המטרה עצמה הסיק מצא מתוכן המאמר ומנסיבות הפצתו. הוא הוסיף שכאשר המחבר שותק ואינו מסביר את כוונתו, בית המשפט רשאי לקבוע את מטרתו לפי המסקנה העולה מהטקסט, ושהכותרת "לעיון ולא למעשה" אינה משנה את המסקנה.</w:t>
      </w:r>
      <w:r>
        <w:rPr>
          <w:rStyle w:val="FootnoteReference"/>
        </w:rPr>
        <w:footnoteReference w:id="18"/>
      </w:r>
    </w:p>
    <w:p>
      <w:pPr>
        <w:bidi/>
        <w:spacing w:after="120" w:line="360" w:lineRule="auto"/>
        <w:ind w:firstLine="0"/>
        <w:jc w:val="both"/>
      </w:pPr>
      <w:r>
        <w:rPr>
          <w:rFonts w:ascii="David" w:cs="David" w:eastAsia="David" w:hAnsi="David"/>
          <w:i w:val="false"/>
          <w:smallCaps w:val="false"/>
          <w:sz w:val="24"/>
          <w:szCs w:val="24"/>
          <w:rtl/>
        </w:rPr>
        <w:t xml:space="preserve">הנשיא ברק הגיע לאותה תוצאה בדרך אחרת. לדעתו, "הדבר שפורסם, על-פי מובנו לשומע, צריך לבטא הסתה לגזענות", ואין להסתפק במטרה אם הטקסט, "על-פי פירושו התכליתי על רקע הקשרו", אינו מסית. מובן הטקסט יכול לנבוע מתוכנו או מהנסיבות שבהן פורסם, אבל טקסט תמים אינו נעשה אסור רק בגלל המחשבה שמאחוריו.</w:t>
      </w:r>
      <w:r>
        <w:rPr>
          <w:rStyle w:val="FootnoteReference"/>
        </w:rPr>
        <w:footnoteReference w:id="19"/>
      </w:r>
      <w:r>
        <w:rPr>
          <w:rFonts w:ascii="David" w:cs="David" w:eastAsia="David" w:hAnsi="David"/>
          <w:i w:val="false"/>
          <w:smallCaps w:val="false"/>
          <w:sz w:val="24"/>
          <w:szCs w:val="24"/>
          <w:rtl/>
        </w:rPr>
        <w:t xml:space="preserve"> ברק הזהיר שענישה על אמירה תמימה שמלווה במטרה פסולה "מתקרבת קרבה מסוכנת להפרת הכלל האוסר על ענישת דברים שבלב", וקבע שענישה כזו חורגת מהמידה הדרושה.</w:t>
      </w:r>
      <w:r>
        <w:rPr>
          <w:rStyle w:val="FootnoteReference"/>
        </w:rPr>
        <w:footnoteReference w:id="20"/>
      </w:r>
      <w:r>
        <w:rPr>
          <w:rFonts w:ascii="David" w:cs="David" w:eastAsia="David" w:hAnsi="David"/>
          <w:i w:val="false"/>
          <w:smallCaps w:val="false"/>
          <w:sz w:val="24"/>
          <w:szCs w:val="24"/>
          <w:rtl/>
        </w:rPr>
        <w:t xml:space="preserve"> השופטים טל וטירקל, שהיו בדעת מיעוט, ראו במאמר חיבור עיוני-הלכתי, והשופט טל הזהיר מפגיעה בחופש הביטוי האקדמי.</w:t>
      </w:r>
      <w:r>
        <w:rPr>
          <w:rStyle w:val="FootnoteReference"/>
        </w:rPr>
        <w:footnoteReference w:id="21"/>
      </w:r>
      <w:r>
        <w:rPr>
          <w:rFonts w:ascii="David" w:cs="David" w:eastAsia="David" w:hAnsi="David"/>
          <w:i w:val="false"/>
          <w:smallCaps w:val="false"/>
          <w:sz w:val="24"/>
          <w:szCs w:val="24"/>
          <w:rtl/>
        </w:rPr>
        <w:t xml:space="preserve"> </w:t>
      </w:r>
      <w:r>
        <w:rPr>
          <w:rFonts w:ascii="David" w:cs="David" w:eastAsia="David" w:hAnsi="David"/>
          <w:i w:val="false"/>
          <w:smallCaps w:val="false"/>
          <w:sz w:val="24"/>
          <w:szCs w:val="24"/>
          <w:highlight w:val="yellow"/>
          <w:rtl/>
        </w:rPr>
        <w:t xml:space="preserve">בשאלת התוכן הצטרף השופט טל לעמדת הנשיא ברק.</w:t>
      </w:r>
    </w:p>
    <w:p>
      <w:pPr>
        <w:bidi/>
        <w:spacing w:after="120" w:line="360" w:lineRule="auto"/>
        <w:ind w:firstLine="0"/>
        <w:jc w:val="both"/>
      </w:pPr>
      <w:r>
        <w:rPr>
          <w:rFonts w:ascii="David" w:cs="David" w:eastAsia="David" w:hAnsi="David"/>
          <w:i w:val="false"/>
          <w:smallCaps w:val="false"/>
          <w:sz w:val="24"/>
          <w:szCs w:val="24"/>
          <w:rtl/>
        </w:rPr>
        <w:t xml:space="preserve">לדעתי גישתו של ברק עדיפה, והיא גם זו שנקלטה בפסיקה המאוחרת. בפרשת העברי, שתידון מיד, אימץ בית המשפט המחוזי כמעט מילה במילה את המבחן של "פירושו התכליתי על רקע הקשרו". היתרון המעשי של גישת מצא קטן ממה שנראה: גם לפיה המטרה מוכחת בעיקר מתוך התוכן, ולכן בית המשפט ממילא קורא את הטקסט ומפרש אותו. מול יתרון מוגבל זה עומד מחיר ממשי, כי הגישה מאפשרת להעניש על מחשבה בלבד.</w:t>
      </w:r>
    </w:p>
    <w:p>
      <w:pPr>
        <w:pStyle w:val="Heading2"/>
        <w:keepNext/>
        <w:bidi/>
        <w:spacing w:after="120" w:before="160" w:line="360"/>
        <w:jc w:val="right"/>
      </w:pPr>
      <w:r>
        <w:rPr>
          <w:rFonts w:ascii="David" w:cs="David" w:eastAsia="David" w:hAnsi="David"/>
          <w:b/>
          <w:bCs/>
          <w:i w:val="false"/>
          <w:smallCaps w:val="false"/>
          <w:sz w:val="24"/>
          <w:szCs w:val="24"/>
          <w:rtl/>
        </w:rPr>
        <w:t xml:space="preserve">2. פרשת העברי: הקשר שמשלים את התוכן</w:t>
      </w:r>
    </w:p>
    <w:p>
      <w:pPr>
        <w:bidi/>
        <w:spacing w:after="120" w:line="360" w:lineRule="auto"/>
        <w:ind w:firstLine="0"/>
        <w:jc w:val="both"/>
      </w:pPr>
      <w:r>
        <w:rPr>
          <w:rFonts w:ascii="David" w:cs="David" w:eastAsia="David" w:hAnsi="David"/>
          <w:i w:val="false"/>
          <w:smallCaps w:val="false"/>
          <w:sz w:val="24"/>
          <w:szCs w:val="24"/>
          <w:rtl/>
        </w:rPr>
        <w:t xml:space="preserve">דוד העברי, פעיל ימין קיצוני, החזיק שק ובו עשרות חולצות שעליהן הכיתוב "אין ערבים – אין פיגועים" ודיוקנו של כהנא. בית המשפט המחוזי הרשיע אותו בהחזקת פרסום גזעני לפי סעיף 144ד. נקבע שהסיסמה "נוקטת בלשון מכלילה ומדברת על כלל הערבים", ושהדיוקן של כהנא, "שמשנתו ידועה", מחזק את אופייה הגזעני.</w:t>
      </w:r>
      <w:r>
        <w:rPr>
          <w:rStyle w:val="FootnoteReference"/>
        </w:rPr>
        <w:footnoteReference w:id="22"/>
      </w:r>
      <w:r>
        <w:rPr>
          <w:rFonts w:ascii="David" w:cs="David" w:eastAsia="David" w:hAnsi="David"/>
          <w:i w:val="false"/>
          <w:smallCaps w:val="false"/>
          <w:sz w:val="24"/>
          <w:szCs w:val="24"/>
          <w:rtl/>
        </w:rPr>
        <w:t xml:space="preserve"> בית המשפט הוסיף שכאשר מדובר בעשרות חולצות, ההסתברות שהמסר יופץ היא "קרובה לוודאי". יש בכך חשיבה ברוח הלכת הצפיות, והיא הופעלה בעבירה הנלווית אף שבעבירה העיקרית השאלה לא הוכרעה.</w:t>
      </w:r>
    </w:p>
    <w:p>
      <w:pPr>
        <w:pStyle w:val="Heading2"/>
        <w:keepNext/>
        <w:bidi/>
        <w:spacing w:after="120" w:before="160" w:line="360"/>
        <w:jc w:val="right"/>
      </w:pPr>
      <w:r>
        <w:rPr>
          <w:rFonts w:ascii="David" w:cs="David" w:eastAsia="David" w:hAnsi="David"/>
          <w:b/>
          <w:bCs/>
          <w:i w:val="false"/>
          <w:smallCaps w:val="false"/>
          <w:sz w:val="24"/>
          <w:szCs w:val="24"/>
          <w:rtl/>
        </w:rPr>
        <w:t xml:space="preserve">3. פרשת סלאח: הסתה ברמז</w:t>
      </w:r>
    </w:p>
    <w:p>
      <w:pPr>
        <w:bidi/>
        <w:spacing w:after="120" w:line="360" w:lineRule="auto"/>
        <w:ind w:firstLine="0"/>
        <w:jc w:val="both"/>
      </w:pPr>
      <w:r>
        <w:rPr>
          <w:rFonts w:ascii="David" w:cs="David" w:eastAsia="David" w:hAnsi="David"/>
          <w:i w:val="false"/>
          <w:smallCaps w:val="false"/>
          <w:sz w:val="24"/>
          <w:szCs w:val="24"/>
          <w:rtl/>
        </w:rPr>
        <w:t xml:space="preserve">ב-2007, בימי המהומות סביב העבודות במעלה המוגרבים, נשא ראאד סלאח, ראש הפלג הצפוני של התנועה האסלאמית, דרשה בפני כאלף איש בוואדי ג'וז שבירושלים. בדרשה אמר: "אנו אף פעם לא הרשינו לעצמנו ללוש את הלחם של ארוחת שבירת הצום בחודש רמדאן המבורך בדמם של הילדים", והוסיף שמי שרוצה הסבר נוסף "שישאל מה היה קורה לחלק מהילדים של אירופה, אשר דמם היה מתערבב בבצק של הלחם הקדוש".</w:t>
      </w:r>
      <w:r>
        <w:rPr>
          <w:rStyle w:val="FootnoteReference"/>
        </w:rPr>
        <w:footnoteReference w:id="23"/>
      </w:r>
      <w:r>
        <w:rPr>
          <w:rFonts w:ascii="David" w:cs="David" w:eastAsia="David" w:hAnsi="David"/>
          <w:i w:val="false"/>
          <w:smallCaps w:val="false"/>
          <w:sz w:val="24"/>
          <w:szCs w:val="24"/>
          <w:rtl/>
        </w:rPr>
        <w:t xml:space="preserve"> בית משפט השלום זיכה אותו מהסתה לגזענות, משום שהדברים לא היו בהירים דיים ונותר ספק באשר למודעותו. בית המשפט המחוזי הרשיע אותו, וקבע ש"אין מדובר בדיון תאולוגי שכלתני ומנותק" אלא בהעלאה מכוונת של עלילת דם.</w:t>
      </w:r>
      <w:r>
        <w:rPr>
          <w:rStyle w:val="FootnoteReference"/>
        </w:rPr>
        <w:footnoteReference w:id="24"/>
      </w:r>
    </w:p>
    <w:p>
      <w:pPr>
        <w:bidi/>
        <w:spacing w:after="120" w:line="360" w:lineRule="auto"/>
        <w:ind w:firstLine="0"/>
        <w:jc w:val="both"/>
      </w:pPr>
      <w:r>
        <w:rPr>
          <w:rFonts w:ascii="David" w:cs="David" w:eastAsia="David" w:hAnsi="David"/>
          <w:i w:val="false"/>
          <w:smallCaps w:val="false"/>
          <w:sz w:val="24"/>
          <w:szCs w:val="24"/>
          <w:rtl/>
        </w:rPr>
        <w:t xml:space="preserve">בית המשפט העליון השאיר את ההרשעה על כנה. המשנה לנשיאה רובינשטיין הסיק את המטרה מהמכלול: מעמדו של הדובר, הקהל הגדול והנסער, הקרבה להר הבית, האווירה הנפיצה והעובדה שהדרשה הייתה מתוכננת. לדבריו, הבחירה להזכיר את "אחד מן הסמלים המובהקים ביותר לשנאת היהודים" ולכרוך אותו בקריאה להגן על מסגד אל-אקצא מובילה למסקנה שתכלית הדברים הייתה להסית.</w:t>
      </w:r>
      <w:r>
        <w:rPr>
          <w:rStyle w:val="FootnoteReference"/>
        </w:rPr>
        <w:footnoteReference w:id="25"/>
      </w:r>
      <w:r>
        <w:rPr>
          <w:rFonts w:ascii="David" w:cs="David" w:eastAsia="David" w:hAnsi="David"/>
          <w:i w:val="false"/>
          <w:smallCaps w:val="false"/>
          <w:sz w:val="24"/>
          <w:szCs w:val="24"/>
          <w:rtl/>
        </w:rPr>
        <w:t xml:space="preserve"> הפרשה מלמדת שהעבירה חלה גם על רמיזה: סלאח לא האשים את היהודים במפורש, אלא הציג את הדברים כשאלה רטורית. היא מלמדת גם עד כמה קל יותר להוכיח את סעיף 144ב מאשר את סעיף 144ד2. השופט ג'ובראן הסכים להרשעה בהסתה לגזענות, ונחלק על חבריו רק בעבירת ההסתה לאלימות, שבה נדרשת "אפשרות ממשית".</w:t>
      </w:r>
      <w:r>
        <w:rPr>
          <w:rStyle w:val="FootnoteReference"/>
        </w:rPr>
        <w:footnoteReference w:id="26"/>
      </w:r>
    </w:p>
    <w:p>
      <w:pPr>
        <w:bidi/>
        <w:spacing w:after="120" w:line="360" w:lineRule="auto"/>
        <w:ind w:firstLine="0"/>
        <w:jc w:val="both"/>
      </w:pPr>
      <w:r>
        <w:rPr>
          <w:rFonts w:ascii="David" w:cs="David" w:eastAsia="David" w:hAnsi="David"/>
          <w:i w:val="false"/>
          <w:smallCaps w:val="false"/>
          <w:sz w:val="24"/>
          <w:szCs w:val="24"/>
          <w:rtl/>
        </w:rPr>
        <w:t xml:space="preserve">רשימת השיקולים שבית המשפט מנה לעניין ההסתה לאלימות, "מי אמר, מה נאמר, היכן נאמר, באיזה אופן נאמר, למי נאמר ובאיזו מסגרת נאמר", שימשה אותו בפועל גם להוכחת המטרה בעבירת ההסתה לגזענות. גם בשאלת העונש יש בפרשה לקח. בית המשפט ציין שהמגמה בפסיקה היא להחמיר בעבירות הסתה על רקע אידאולוגי, "למען יראו וייראו", ושמעמדו של סלאח כמנהיג רוחני רב השפעה מחמיר את המעשה. עם זאת, בגלל חלוף הזמן ומדיניות הענישה שנהגה בעת האירוע, הופחת עונש המאסר בפועל מאחד עשר חודשים לתשעה.</w:t>
      </w:r>
      <w:r>
        <w:rPr>
          <w:rStyle w:val="FootnoteReference"/>
        </w:rPr>
        <w:footnoteReference w:id="27"/>
      </w:r>
      <w:r>
        <w:rPr>
          <w:rFonts w:ascii="David" w:cs="David" w:eastAsia="David" w:hAnsi="David"/>
          <w:i w:val="false"/>
          <w:smallCaps w:val="false"/>
          <w:sz w:val="24"/>
          <w:szCs w:val="24"/>
          <w:rtl/>
        </w:rPr>
        <w:t xml:space="preserve"> ההליך נמשך כתשע שנים מיום הדרשה ועד פסק הדין בבית המשפט העליון. פרק זמן כזה מחליש את ההרתעה שבית המשפט עצמו ביקש להשיג, ומחזק את הטענה שאעלה בפרק ו על קשיי האכיפה.</w:t>
      </w:r>
    </w:p>
    <w:p>
      <w:pPr>
        <w:pStyle w:val="Heading2"/>
        <w:keepNext/>
        <w:bidi/>
        <w:spacing w:after="120" w:before="160" w:line="360"/>
        <w:jc w:val="right"/>
      </w:pPr>
      <w:r>
        <w:rPr>
          <w:rFonts w:ascii="David" w:cs="David" w:eastAsia="David" w:hAnsi="David"/>
          <w:b/>
          <w:bCs/>
          <w:i w:val="false"/>
          <w:smallCaps w:val="false"/>
          <w:sz w:val="24"/>
          <w:szCs w:val="24"/>
          <w:rtl/>
        </w:rPr>
        <w:t xml:space="preserve">4. בג"ץ "תורת המלך": גבולות הסייג הדתי</w:t>
      </w:r>
    </w:p>
    <w:p>
      <w:pPr>
        <w:bidi/>
        <w:spacing w:after="120" w:line="360" w:lineRule="auto"/>
        <w:ind w:firstLine="0"/>
        <w:jc w:val="both"/>
      </w:pPr>
      <w:r>
        <w:rPr>
          <w:rFonts w:ascii="David" w:cs="David" w:eastAsia="David" w:hAnsi="David"/>
          <w:i w:val="false"/>
          <w:smallCaps w:val="false"/>
          <w:sz w:val="24"/>
          <w:szCs w:val="24"/>
          <w:rtl/>
        </w:rPr>
        <w:t xml:space="preserve">הספר "תורת המלך", שפורסם ב-2009, עוסק ב"דיני נפשות בין ישראל לעמים", ויש בו פרקים כמו "הריגת גוי שעובר על שבע מצוות" ו"פגיעה מכוונת בחפים מפשע". היועץ המשפטי לממשלה סגר את התיק נגד המחברים מחוסר ראיות. הוא נימק זאת בקושי להוכיח מטרה להסית בחיבור שהוא "בירור הלכתי", בכך שהספר עוסק ב"גויים" ולא בערבים דווקא, ובכך שאין בו קריאה לפעולה. המחברים עצמם טענו שהספר מוגן כ"פרסום ציטוט מתוך כתבי דת", והיועץ המשפטי קיבל טענה זו לפחות בחלקה.</w:t>
      </w:r>
      <w:r>
        <w:rPr>
          <w:rStyle w:val="FootnoteReference"/>
        </w:rPr>
        <w:footnoteReference w:id="28"/>
      </w:r>
      <w:r>
        <w:rPr>
          <w:rFonts w:ascii="David" w:cs="David" w:eastAsia="David" w:hAnsi="David"/>
          <w:i w:val="false"/>
          <w:smallCaps w:val="false"/>
          <w:sz w:val="24"/>
          <w:szCs w:val="24"/>
          <w:rtl/>
        </w:rPr>
        <w:t xml:space="preserve"> העתירה נגד ההחלטה נדחתה בדעת רוב. המשנה לנשיאה רובינשטיין הבחין בין הספר לבין המאמר של אלבה, שהגיע למסקנה הלכתית ברורה המטילה חובה על האדם הפרטי, ושמחברו היה פעיל ברכישת נשק. עם זאת הדגיש שלחיבורים הלכתיים אין חסינות מוחלטת, וכתב שההכרעה ניתנה "בחירוק שיניים. לבי להעמדה לדין ומוחי בספקות הרבים".</w:t>
      </w:r>
      <w:r>
        <w:rPr>
          <w:rStyle w:val="FootnoteReference"/>
        </w:rPr>
        <w:footnoteReference w:id="29"/>
      </w:r>
    </w:p>
    <w:p>
      <w:pPr>
        <w:bidi/>
        <w:spacing w:after="120" w:line="360" w:lineRule="auto"/>
        <w:ind w:firstLine="0"/>
        <w:jc w:val="both"/>
      </w:pPr>
      <w:r>
        <w:rPr>
          <w:rFonts w:ascii="David" w:cs="David" w:eastAsia="David" w:hAnsi="David"/>
          <w:i w:val="false"/>
          <w:smallCaps w:val="false"/>
          <w:sz w:val="24"/>
          <w:szCs w:val="24"/>
          <w:rtl/>
        </w:rPr>
        <w:t xml:space="preserve">קשה ליישב את התוצאה עם הלכת אלבה. גם מחברי "תורת המלך" שתקו בחקירה, וגם הם טענו שמדובר בעיון תיאורטי. באלבה נקבע שבמצב כזה בית המשפט רשאי להסיק את המטרה מהתוכן, ושכותרת עיונית אינה מחסנת את המפרסם.</w:t>
      </w:r>
      <w:r>
        <w:rPr>
          <w:rStyle w:val="FootnoteReference"/>
        </w:rPr>
        <w:footnoteReference w:id="30"/>
      </w:r>
      <w:r>
        <w:rPr>
          <w:rFonts w:ascii="David" w:cs="David" w:eastAsia="David" w:hAnsi="David"/>
          <w:i w:val="false"/>
          <w:smallCaps w:val="false"/>
          <w:sz w:val="24"/>
          <w:szCs w:val="24"/>
          <w:rtl/>
        </w:rPr>
        <w:t xml:space="preserve"> גם הנימוק של "גויים" ולא "ערבים" חלש, שהרי לפי השופט מצא החוק מגן על כל קבוצה ולא על קבוצה מסוימת.</w:t>
      </w:r>
      <w:r>
        <w:rPr>
          <w:rStyle w:val="FootnoteReference"/>
        </w:rPr>
        <w:footnoteReference w:id="31"/>
      </w:r>
      <w:r>
        <w:rPr>
          <w:rFonts w:ascii="David" w:cs="David" w:eastAsia="David" w:hAnsi="David"/>
          <w:i w:val="false"/>
          <w:smallCaps w:val="false"/>
          <w:sz w:val="24"/>
          <w:szCs w:val="24"/>
          <w:rtl/>
        </w:rPr>
        <w:t xml:space="preserve"> גם ההסתמכות על סעיף 144ג(ב) אינה משכנעת. הסייג מגן על ציטוט מכתבי דת, ולא על חיבור חדש שמסיק מהמקורות מסקנות מעשיות בדבר הריגה. אילו כל חיבור שנשען על מקורות דתיים היה נהנה מהסייג, העבירה הייתה מתרוקנת מתוכן בדיוק בתחום שבו נולדה. נראה שההבדל בין הפרשות נובע בעיקר מסוג ההליך. באלבה בית המשפט עצמו שקל את הראיות במשפט פלילי. ב"תורת המלך" הוא רק בחן אם החלטת היועץ המשפטי אינה סבירה ברמה קיצונית, וציין שאין תקדים להתערבות בהחלטה שלא להעמיד לדין מחוסר ראיות.</w:t>
      </w:r>
      <w:r>
        <w:rPr>
          <w:rStyle w:val="FootnoteReference"/>
        </w:rPr>
        <w:footnoteReference w:id="32"/>
      </w:r>
    </w:p>
    <w:p>
      <w:pPr>
        <w:pStyle w:val="Heading1"/>
        <w:keepNext/>
        <w:bidi/>
        <w:spacing w:after="120" w:before="240" w:line="360"/>
        <w:jc w:val="right"/>
      </w:pPr>
      <w:r>
        <w:rPr>
          <w:rFonts w:ascii="David" w:cs="David" w:eastAsia="David" w:hAnsi="David"/>
          <w:b/>
          <w:bCs/>
          <w:i w:val="false"/>
          <w:smallCaps w:val="false"/>
          <w:sz w:val="28"/>
          <w:szCs w:val="28"/>
          <w:rtl/>
        </w:rPr>
        <w:t xml:space="preserve">פרק ד: היסוד הנפשי ושאלת הלכת הצפיות</w:t>
      </w:r>
    </w:p>
    <w:p>
      <w:pPr>
        <w:bidi/>
        <w:spacing w:after="120" w:line="360" w:lineRule="auto"/>
        <w:ind w:firstLine="0"/>
        <w:jc w:val="both"/>
      </w:pPr>
      <w:r>
        <w:rPr>
          <w:rFonts w:ascii="David" w:cs="David" w:eastAsia="David" w:hAnsi="David"/>
          <w:i w:val="false"/>
          <w:smallCaps w:val="false"/>
          <w:sz w:val="24"/>
          <w:szCs w:val="24"/>
          <w:rtl/>
        </w:rPr>
        <w:t xml:space="preserve">לפי סעיף 20(ב) לחוק, "לענין כוונה, ראיה מראש את התרחשות התוצאות, כאפשרות קרובה לוודאי, כמוה כמטרה לגרמן". הכלל נועד להתגבר על הקושי להוכיח מה רצה אדם כשפעל.</w:t>
      </w:r>
      <w:r>
        <w:rPr>
          <w:rStyle w:val="FootnoteReference"/>
        </w:rPr>
        <w:footnoteReference w:id="33"/>
      </w:r>
      <w:r>
        <w:rPr>
          <w:rFonts w:ascii="David" w:cs="David" w:eastAsia="David" w:hAnsi="David"/>
          <w:i w:val="false"/>
          <w:smallCaps w:val="false"/>
          <w:sz w:val="24"/>
          <w:szCs w:val="24"/>
          <w:rtl/>
        </w:rPr>
        <w:t xml:space="preserve"> השאלה היא אם הכלל חל גם על "מטרה להסית" שבסעיף 144ב, שהיא עבירה התנהגותית.</w:t>
      </w:r>
    </w:p>
    <w:p>
      <w:pPr>
        <w:bidi/>
        <w:spacing w:after="120" w:line="360" w:lineRule="auto"/>
        <w:ind w:firstLine="0"/>
        <w:jc w:val="both"/>
      </w:pPr>
      <w:r>
        <w:rPr>
          <w:rFonts w:ascii="David" w:cs="David" w:eastAsia="David" w:hAnsi="David"/>
          <w:i w:val="false"/>
          <w:smallCaps w:val="false"/>
          <w:sz w:val="24"/>
          <w:szCs w:val="24"/>
          <w:rtl/>
        </w:rPr>
        <w:t xml:space="preserve">בפרשת אלבה נחלקו השופטים גם בשאלה זו. השופט מצא סבר שאין הבדל בין "מטרה" בעבירה התנהגותית לבין "כוונה" בעבירה תוצאתית, ולכן סעיף 20(ב) חל. הוא הוסיף שהחלת הכלל רצויה, בגלל הקושי המיוחד להוכיח מטרה בעבירה שאין בה תוצאה, ומשום שלדעתו אין לאיסור אינטרס נגדי של ממש.</w:t>
      </w:r>
      <w:r>
        <w:rPr>
          <w:rStyle w:val="FootnoteReference"/>
        </w:rPr>
        <w:footnoteReference w:id="34"/>
      </w:r>
      <w:r>
        <w:rPr>
          <w:rFonts w:ascii="David" w:cs="David" w:eastAsia="David" w:hAnsi="David"/>
          <w:i w:val="false"/>
          <w:smallCaps w:val="false"/>
          <w:sz w:val="24"/>
          <w:szCs w:val="24"/>
          <w:rtl/>
        </w:rPr>
        <w:t xml:space="preserve"> הנשיא ברק חלק עליו. לדעתו, "מטרה" בעבירה התנהגותית אינה "כוונה", ולכן סעיף 20(ב) אינו חל עליה מאליו. את השאלה אם להחיל את הכלל בדרך פרשנית יש לבחון בכל עבירה לפי תכליתה, ובסעיף 144ב התכלית מחייבת איזון בין חופש הביטוי והחופש האישי של המפרסם לבין אינטרס הציבור, כבוד האדם והשוויון. ברק ציין ש"איזון זה אינו פשוט כלל ועיקר", והשאיר את השאלה בצריך עיון.</w:t>
      </w:r>
      <w:r>
        <w:rPr>
          <w:rStyle w:val="FootnoteReference"/>
        </w:rPr>
        <w:footnoteReference w:id="35"/>
      </w:r>
    </w:p>
    <w:p>
      <w:pPr>
        <w:bidi/>
        <w:spacing w:after="120" w:line="360" w:lineRule="auto"/>
        <w:ind w:firstLine="0"/>
        <w:jc w:val="both"/>
      </w:pPr>
      <w:r>
        <w:rPr>
          <w:rFonts w:ascii="David" w:cs="David" w:eastAsia="David" w:hAnsi="David"/>
          <w:i w:val="false"/>
          <w:smallCaps w:val="false"/>
          <w:sz w:val="24"/>
          <w:szCs w:val="24"/>
          <w:rtl/>
        </w:rPr>
        <w:t xml:space="preserve">מאז התגבשה בפסיקה עמדה כללית: בעבירות מטרה הלכת הצפיות אינה חלה אוטומטית, ויש לבחון כל עבירה לגופה.</w:t>
      </w:r>
      <w:r>
        <w:rPr>
          <w:rStyle w:val="FootnoteReference"/>
        </w:rPr>
        <w:footnoteReference w:id="36"/>
      </w:r>
      <w:r>
        <w:rPr>
          <w:rFonts w:ascii="David" w:cs="David" w:eastAsia="David" w:hAnsi="David"/>
          <w:i w:val="false"/>
          <w:smallCaps w:val="false"/>
          <w:sz w:val="24"/>
          <w:szCs w:val="24"/>
          <w:rtl/>
        </w:rPr>
        <w:t xml:space="preserve"> בעבירת התרמית בניירות ערך נקבע שהכלל אינו חל, משום שהערך המוגן, תקינות שוק ההון, נפגע רק כשיש כוונה להשפיע על השער.</w:t>
      </w:r>
      <w:r>
        <w:rPr>
          <w:rStyle w:val="FootnoteReference"/>
        </w:rPr>
        <w:footnoteReference w:id="37"/>
      </w:r>
      <w:r>
        <w:rPr>
          <w:rFonts w:ascii="David" w:cs="David" w:eastAsia="David" w:hAnsi="David"/>
          <w:i w:val="false"/>
          <w:smallCaps w:val="false"/>
          <w:sz w:val="24"/>
          <w:szCs w:val="24"/>
          <w:rtl/>
        </w:rPr>
        <w:t xml:space="preserve"> קרוב יותר לענייננו פסק הדין בפרשת ביטון, שבו קבע הנשיא ברק שהכלל אינו חל על עבירת לשון הרע. הנימוק היה שהערך המוגן, מניעת שנאה ושמירה על שלום הציבור, נפגע בעיקר כשיש כוונה לפגוע, ושהחלת הכלל תפגע קשות בחופש הביטוי, ובמיוחד בחופש של עיתונאים.</w:t>
      </w:r>
      <w:r>
        <w:rPr>
          <w:rStyle w:val="FootnoteReference"/>
        </w:rPr>
        <w:footnoteReference w:id="38"/>
      </w:r>
    </w:p>
    <w:p>
      <w:pPr>
        <w:bidi/>
        <w:spacing w:after="120" w:line="360" w:lineRule="auto"/>
        <w:ind w:firstLine="0"/>
        <w:jc w:val="both"/>
      </w:pPr>
      <w:r>
        <w:rPr>
          <w:rFonts w:ascii="David" w:cs="David" w:eastAsia="David" w:hAnsi="David"/>
          <w:i w:val="false"/>
          <w:smallCaps w:val="false"/>
          <w:sz w:val="24"/>
          <w:szCs w:val="24"/>
          <w:rtl/>
        </w:rPr>
        <w:t xml:space="preserve">בפרשת תורת המלך חזר השופט ג'ובראן, בדעת מיעוט, לעמדתו של מצא. לדבריו, "אי-ההכרעה המתמשכת בשאלת החלת הלכת הצפיות בעבירת ההסתה לגזענות פוגעת בעקרון החוקיות", שאחת מנגזרותיו היא הדרישה שהחוק הפלילי יהיה ברור וודאי. הוא סבר שתכליות העבירה תומכות בהחלת הכלל, והציע להורות ליועץ המשפטי לבחון מחדש את הראיות תוך שימוש בו.</w:t>
      </w:r>
      <w:r>
        <w:rPr>
          <w:rStyle w:val="FootnoteReference"/>
        </w:rPr>
        <w:footnoteReference w:id="39"/>
      </w:r>
    </w:p>
    <w:p>
      <w:pPr>
        <w:bidi/>
        <w:spacing w:after="120" w:line="360" w:lineRule="auto"/>
        <w:ind w:firstLine="0"/>
        <w:jc w:val="both"/>
      </w:pPr>
      <w:r>
        <w:rPr>
          <w:rFonts w:ascii="David" w:cs="David" w:eastAsia="David" w:hAnsi="David"/>
          <w:i w:val="false"/>
          <w:smallCaps w:val="false"/>
          <w:sz w:val="24"/>
          <w:szCs w:val="24"/>
          <w:rtl/>
        </w:rPr>
        <w:t xml:space="preserve">לדעתי יש להכריע בעד החלת הכלל. הטיעון מפרשת ביטון חזק, אבל אי אפשר להעביר אותו כמות שהוא לסעיף 144ב. השופט מצא הסביר שהערך המוגן בסעיף 144ב הוא "מניעתה של עצם ההסתה", וערך זה נפגע גם אם איש מהקוראים לא יפגע בפועל באחרים.</w:t>
      </w:r>
      <w:r>
        <w:rPr>
          <w:rStyle w:val="FootnoteReference"/>
        </w:rPr>
        <w:footnoteReference w:id="40"/>
      </w:r>
      <w:r>
        <w:rPr>
          <w:rFonts w:ascii="David" w:cs="David" w:eastAsia="David" w:hAnsi="David"/>
          <w:i w:val="false"/>
          <w:smallCaps w:val="false"/>
          <w:sz w:val="24"/>
          <w:szCs w:val="24"/>
          <w:rtl/>
        </w:rPr>
        <w:t xml:space="preserve"> הפגיעה בכבוד ובשוויון נגרמת אפוא מעצם הפצת המסר הגזעני, בלי קשר לשאלה אם המפרסם רצה בכך או רק ידע שזה כמעט ודאי יקרה. החשש לעיתונאים ולחוקרים מוצדק, אבל החוק כבר נותן לו מענה. ראשית, דרישת התוכן של ברק מסננת דיווח: כתבה שמצטטת דברי הסתה מבטאת, לפי מובנה לקורא, דיווח ולא הסתה. שנית, סעיף 144ג(א) מתיר במפורש דין וחשבון נכון והוגן. שלישית, הלכת הצפיות דורשת ראייה של התוצאה כאפשרות קרובה לוודאי, רף שדיווח עיתונאי רגיל אינו מגיע אליו. בזכות המסננים האלה אפשר להחיל את הכלל בלי להרחיב את העבירה מעבר לתכליתה.</w:t>
      </w:r>
    </w:p>
    <w:p>
      <w:pPr>
        <w:pStyle w:val="Heading1"/>
        <w:keepNext/>
        <w:bidi/>
        <w:spacing w:after="120" w:before="240" w:line="360"/>
        <w:jc w:val="right"/>
      </w:pPr>
      <w:r>
        <w:rPr>
          <w:rFonts w:ascii="David" w:cs="David" w:eastAsia="David" w:hAnsi="David"/>
          <w:b/>
          <w:bCs/>
          <w:i w:val="false"/>
          <w:smallCaps w:val="false"/>
          <w:sz w:val="28"/>
          <w:szCs w:val="28"/>
          <w:rtl/>
        </w:rPr>
        <w:t xml:space="preserve">פרק ה: חופש הביטוי ומבט משווה</w:t>
      </w:r>
    </w:p>
    <w:p>
      <w:pPr>
        <w:bidi/>
        <w:spacing w:after="120" w:line="360" w:lineRule="auto"/>
        <w:ind w:firstLine="0"/>
        <w:jc w:val="both"/>
      </w:pPr>
      <w:r>
        <w:rPr>
          <w:rFonts w:ascii="David" w:cs="David" w:eastAsia="David" w:hAnsi="David"/>
          <w:i w:val="false"/>
          <w:smallCaps w:val="false"/>
          <w:sz w:val="24"/>
          <w:szCs w:val="24"/>
          <w:rtl/>
        </w:rPr>
        <w:t xml:space="preserve">מאז בג"ץ קול העם, הגבלה של ביטוי בשם שלום הציבור מותנית בדרך כלל ב"ודאות קרובה" לפגיעה.</w:t>
      </w:r>
      <w:r>
        <w:rPr>
          <w:rStyle w:val="FootnoteReference"/>
        </w:rPr>
        <w:footnoteReference w:id="41"/>
      </w:r>
      <w:r>
        <w:rPr>
          <w:rFonts w:ascii="David" w:cs="David" w:eastAsia="David" w:hAnsi="David"/>
          <w:i w:val="false"/>
          <w:smallCaps w:val="false"/>
          <w:sz w:val="24"/>
          <w:szCs w:val="24"/>
          <w:rtl/>
        </w:rPr>
        <w:t xml:space="preserve"> סעיף 144ב חורג מהכלל הזה. השופט מצא קבע שלמבחן הסתברותי "אין, ולא יכולה להיות, תחולה" בעבירה התנהגותית מובהקת, וכתב: "הביטוי הגזעני אינו נמנה עם צורות הביטוי הפוגעניות, המרגיזות או המקוממות, שעל חברה חופשית להשלים עם קיומן, חרף סלידתה מפניהן. הביטוי הגזעני הוא חריג. הוא מצוי מחוץ לגדריה של תפיסת העולם הדמוקרטית, ושערי חופש הביטוי נעולים בפניו".</w:t>
      </w:r>
      <w:r>
        <w:rPr>
          <w:rStyle w:val="FootnoteReference"/>
        </w:rPr>
        <w:footnoteReference w:id="42"/>
      </w:r>
      <w:r>
        <w:rPr>
          <w:rFonts w:ascii="David" w:cs="David" w:eastAsia="David" w:hAnsi="David"/>
          <w:i w:val="false"/>
          <w:smallCaps w:val="false"/>
          <w:sz w:val="24"/>
          <w:szCs w:val="24"/>
          <w:rtl/>
        </w:rPr>
        <w:t xml:space="preserve"> ברק, לעומתו, הכיר בכך שהאיסור פוגע בחופש הביטוי. הוא ראה בפגיעה זו פגיעה מוצדקת, שנועדה לתכלית ראויה, ודרש שלא תחרוג מהמידה הדרושה. את שאלת הוודאות הקרובה השאיר בצריך עיון.</w:t>
      </w:r>
      <w:r>
        <w:rPr>
          <w:rStyle w:val="FootnoteReference"/>
        </w:rPr>
        <w:footnoteReference w:id="43"/>
      </w:r>
      <w:r>
        <w:rPr>
          <w:rFonts w:ascii="David" w:cs="David" w:eastAsia="David" w:hAnsi="David"/>
          <w:i w:val="false"/>
          <w:smallCaps w:val="false"/>
          <w:sz w:val="24"/>
          <w:szCs w:val="24"/>
          <w:rtl/>
        </w:rPr>
        <w:t xml:space="preserve"> בספרות נמתחה ביקורת על היעדר מבחן הסתברותי בעבירות ביטוי, ונטען שיש לבחון בכל עבירה מהו הערך המוגן ואיזה סיכון מצדיק את הגבלת הביטוי.</w:t>
      </w:r>
      <w:r>
        <w:rPr>
          <w:rStyle w:val="FootnoteReference"/>
        </w:rPr>
        <w:footnoteReference w:id="44"/>
      </w:r>
    </w:p>
    <w:p>
      <w:pPr>
        <w:bidi/>
        <w:spacing w:after="120" w:line="360" w:lineRule="auto"/>
        <w:ind w:firstLine="0"/>
        <w:jc w:val="both"/>
      </w:pPr>
      <w:r>
        <w:rPr>
          <w:rFonts w:ascii="David" w:cs="David" w:eastAsia="David" w:hAnsi="David"/>
          <w:i w:val="false"/>
          <w:smallCaps w:val="false"/>
          <w:sz w:val="24"/>
          <w:szCs w:val="24"/>
          <w:rtl/>
        </w:rPr>
        <w:t xml:space="preserve">אפשר לבחון את סעיף 144ב גם לפי מבחני פסקת ההגבלה שבסעיף 8 לחוק-יסוד: כבוד האדם וחירותו. הסעיף נחקק לפני חוק היסוד ומוגן מפני ביטול מכוח סעיף שמירת הדינים, אבל יש לפרש אותו ברוח חוק היסוד.</w:t>
      </w:r>
      <w:r>
        <w:rPr>
          <w:rStyle w:val="FootnoteReference"/>
        </w:rPr>
        <w:footnoteReference w:id="45"/>
      </w:r>
      <w:r>
        <w:rPr>
          <w:rFonts w:ascii="David" w:cs="David" w:eastAsia="David" w:hAnsi="David"/>
          <w:i w:val="false"/>
          <w:smallCaps w:val="false"/>
          <w:sz w:val="24"/>
          <w:szCs w:val="24"/>
          <w:rtl/>
        </w:rPr>
        <w:t xml:space="preserve"> תכלית האיסור ראויה: הגנה על כבוד האדם, על השוויון ועל שלום הציבור. שאלת המידתיות מורכבת יותר. לטובת הסעיף עומדות דרישת המטרה, שמצמצמת מאוד את היקפו, ודרישת ההסכמה של היועץ המשפטי. לחובתו עומדות ההגדרה הרחבה של "גזענות" והיעדר כל דרישה הסתברותית. ברק ערך בפרשת אלבה בחינה מעין זו, כשפירש את המילה "דבר" כך שהפגיעה בחופש הביטוי לא תעבור את המידה הדרושה.</w:t>
      </w:r>
      <w:r>
        <w:rPr>
          <w:rStyle w:val="FootnoteReference"/>
        </w:rPr>
        <w:footnoteReference w:id="46"/>
      </w:r>
      <w:r>
        <w:rPr>
          <w:rFonts w:ascii="David" w:cs="David" w:eastAsia="David" w:hAnsi="David"/>
          <w:i w:val="false"/>
          <w:smallCaps w:val="false"/>
          <w:sz w:val="24"/>
          <w:szCs w:val="24"/>
          <w:rtl/>
        </w:rPr>
        <w:t xml:space="preserve"> לדעתי, עם דרישת התוכן האובייקטיבי הסעיף עומד במבחן המידתיות. בלעדיה, כפי שהציע מצא, קשה להצדיק ענישה על אמירה תמימה.</w:t>
      </w:r>
    </w:p>
    <w:p>
      <w:pPr>
        <w:bidi/>
        <w:spacing w:after="120" w:line="360" w:lineRule="auto"/>
        <w:ind w:firstLine="0"/>
        <w:jc w:val="both"/>
      </w:pPr>
      <w:r>
        <w:rPr>
          <w:rFonts w:ascii="David" w:cs="David" w:eastAsia="David" w:hAnsi="David"/>
          <w:i w:val="false"/>
          <w:smallCaps w:val="false"/>
          <w:sz w:val="24"/>
          <w:szCs w:val="24"/>
          <w:rtl/>
        </w:rPr>
        <w:t xml:space="preserve">לפי גור-אריה, השאלה אם להפליל ביטויי שנאה משקפת הבדלים תרבותיים במשקל שכל שיטה נותנת לחופש הביטוי לעומת זכויות יסוד אחרות. בארצות הברית התיקון הראשון לחוקה מעניק לחופש הביטוי משקל חוקתי גבוה במיוחד, ולכן אין שם איסור פלילי על ביטויי שנאה אלא רק על מעשים שנעשו ממניע של שנאה. ההנחה היא שעם ביטוי פוגעני מתמודדים באמצעות ביטוי נגדי.</w:t>
      </w:r>
      <w:r>
        <w:rPr>
          <w:rStyle w:val="FootnoteReference"/>
        </w:rPr>
        <w:footnoteReference w:id="47"/>
      </w:r>
      <w:r>
        <w:rPr>
          <w:rFonts w:ascii="David" w:cs="David" w:eastAsia="David" w:hAnsi="David"/>
          <w:i w:val="false"/>
          <w:smallCaps w:val="false"/>
          <w:sz w:val="24"/>
          <w:szCs w:val="24"/>
          <w:rtl/>
        </w:rPr>
        <w:t xml:space="preserve"> ביטוי מסית מוגבל שם רק כשהוא מכוון להסית לפעולה בלתי חוקית מיידית ועלול להביא לה.</w:t>
      </w:r>
      <w:r>
        <w:rPr>
          <w:rStyle w:val="FootnoteReference"/>
        </w:rPr>
        <w:footnoteReference w:id="48"/>
      </w:r>
      <w:r>
        <w:rPr>
          <w:rFonts w:ascii="David" w:cs="David" w:eastAsia="David" w:hAnsi="David"/>
          <w:i w:val="false"/>
          <w:smallCaps w:val="false"/>
          <w:sz w:val="24"/>
          <w:szCs w:val="24"/>
          <w:rtl/>
        </w:rPr>
        <w:t xml:space="preserve"> באירופה, לעומת זאת, כבוד האדם הוא ערך חוקתי במשקל גבוה, לעיתים מוחלט, והוא גובר על חופש הביטוי. בגרמניה הסתה נגד חלקי אוכלוסייה היא עבירה לפי סעיף 130 לחוק הפלילי,</w:t>
      </w:r>
      <w:r>
        <w:rPr>
          <w:rStyle w:val="FootnoteReference"/>
        </w:rPr>
        <w:footnoteReference w:id="49"/>
      </w:r>
      <w:r>
        <w:rPr>
          <w:rFonts w:ascii="David" w:cs="David" w:eastAsia="David" w:hAnsi="David"/>
          <w:i w:val="false"/>
          <w:smallCaps w:val="false"/>
          <w:sz w:val="24"/>
          <w:szCs w:val="24"/>
          <w:rtl/>
        </w:rPr>
        <w:t xml:space="preserve"> ובית הדין האירופי לזכויות אדם קבע שבחברה דמוקרטית ייתכן צורך להגביל ואף למנוע ביטויים שמפיצים, מסיתים, מקדמים או מצדיקים שנאה המבוססת על חוסר סובלנות, ובלבד שההגבלה מידתית.</w:t>
      </w:r>
      <w:r>
        <w:rPr>
          <w:rStyle w:val="FootnoteReference"/>
        </w:rPr>
        <w:footnoteReference w:id="50"/>
      </w:r>
      <w:r>
        <w:rPr>
          <w:rFonts w:ascii="David" w:cs="David" w:eastAsia="David" w:hAnsi="David"/>
          <w:i w:val="false"/>
          <w:smallCaps w:val="false"/>
          <w:sz w:val="24"/>
          <w:szCs w:val="24"/>
          <w:rtl/>
        </w:rPr>
        <w:t xml:space="preserve"> גם לגישה האירופית יש גבול: בפרשת Perinçek קבע בית הדין שהרשעתו של פוליטיקאי טורקי שהכחיש את רצח העם הארמני אינה מידתית.</w:t>
      </w:r>
      <w:r>
        <w:rPr>
          <w:rStyle w:val="FootnoteReference"/>
        </w:rPr>
        <w:footnoteReference w:id="51"/>
      </w:r>
      <w:r>
        <w:rPr>
          <w:rFonts w:ascii="David" w:cs="David" w:eastAsia="David" w:hAnsi="David"/>
          <w:i w:val="false"/>
          <w:smallCaps w:val="false"/>
          <w:sz w:val="24"/>
          <w:szCs w:val="24"/>
          <w:rtl/>
        </w:rPr>
        <w:t xml:space="preserve"> קנדה נמצאת בתווך: בית המשפט העליון שם אישר את חוקתיות האיסור על קידום שנאה במכוון.</w:t>
      </w:r>
      <w:r>
        <w:rPr>
          <w:rStyle w:val="FootnoteReference"/>
        </w:rPr>
        <w:footnoteReference w:id="52"/>
      </w:r>
    </w:p>
    <w:p>
      <w:pPr>
        <w:bidi/>
        <w:spacing w:after="120" w:line="360" w:lineRule="auto"/>
        <w:ind w:firstLine="0"/>
        <w:jc w:val="both"/>
      </w:pPr>
      <w:r>
        <w:rPr>
          <w:rFonts w:ascii="David" w:cs="David" w:eastAsia="David" w:hAnsi="David"/>
          <w:i w:val="false"/>
          <w:smallCaps w:val="false"/>
          <w:sz w:val="24"/>
          <w:szCs w:val="24"/>
          <w:rtl/>
        </w:rPr>
        <w:t xml:space="preserve">הקרבה לגישה האירופית ניכרת גם בחוק איסור הכחשת השואה, שנחקק באותה שנה כמו סעיף 144ב. עם זאת, לפי גור-אריה החוק הישראלי שונה מהחוקים האירופיים: עיקרו אינו ההגנה על כבוד הקורבנות והניצולים, אלא מניעת ביטויי אהדה או הזדהות עם פשעי המשטר הנאצי.</w:t>
      </w:r>
      <w:r>
        <w:rPr>
          <w:rStyle w:val="FootnoteReference"/>
        </w:rPr>
        <w:footnoteReference w:id="53"/>
      </w:r>
      <w:r>
        <w:rPr>
          <w:rFonts w:ascii="David" w:cs="David" w:eastAsia="David" w:hAnsi="David"/>
          <w:i w:val="false"/>
          <w:smallCaps w:val="false"/>
          <w:sz w:val="24"/>
          <w:szCs w:val="24"/>
          <w:rtl/>
        </w:rPr>
        <w:t xml:space="preserve"> שני החוקים משקפים מגמה של אמצע שנות השמונים: נכונות להשתמש במשפט הפלילי נגד ביטויי שנאה שנתפסו כמסכנים את יסודות המדינה.</w:t>
      </w:r>
    </w:p>
    <w:p>
      <w:pPr>
        <w:bidi/>
        <w:spacing w:after="120" w:line="360" w:lineRule="auto"/>
        <w:ind w:firstLine="0"/>
        <w:jc w:val="both"/>
      </w:pPr>
      <w:r>
        <w:rPr>
          <w:rFonts w:ascii="David" w:cs="David" w:eastAsia="David" w:hAnsi="David"/>
          <w:i w:val="false"/>
          <w:smallCaps w:val="false"/>
          <w:sz w:val="24"/>
          <w:szCs w:val="24"/>
          <w:rtl/>
        </w:rPr>
        <w:t xml:space="preserve">ישראל קרובה לגישה האירופית, אבל סעיף 144ב מסויג יותר מהמקבילה הגרמנית, משום שהוא דורש מטרה להסית. את ההצדקה הערכית לגישה זו אפשר למצוא בכתיבתו של ג'רמי וולדרון, שלפיה ביטוי שנאה פוגע במעמדם של בני הקבוצה כשווים בחברה, גם כשאינו מוביל לאלימות.</w:t>
      </w:r>
      <w:r>
        <w:rPr>
          <w:rStyle w:val="FootnoteReference"/>
        </w:rPr>
        <w:footnoteReference w:id="54"/>
      </w:r>
      <w:r>
        <w:rPr>
          <w:rFonts w:ascii="David" w:cs="David" w:eastAsia="David" w:hAnsi="David"/>
          <w:i w:val="false"/>
          <w:smallCaps w:val="false"/>
          <w:sz w:val="24"/>
          <w:szCs w:val="24"/>
          <w:rtl/>
        </w:rPr>
        <w:t xml:space="preserve"> הגישה הזו מתיישבת עם דברי מצא על הביטוי הגזעני כחריג, ועם הדרישה של ברק שהפגיעה בחופש הביטוי לא תחרוג מהמידה הדרושה.</w:t>
      </w:r>
    </w:p>
    <w:p>
      <w:pPr>
        <w:pStyle w:val="Heading1"/>
        <w:keepNext/>
        <w:bidi/>
        <w:spacing w:after="120" w:before="240" w:line="360"/>
        <w:jc w:val="right"/>
      </w:pPr>
      <w:r>
        <w:rPr>
          <w:rFonts w:ascii="David" w:cs="David" w:eastAsia="David" w:hAnsi="David"/>
          <w:b/>
          <w:bCs/>
          <w:i w:val="false"/>
          <w:smallCaps w:val="false"/>
          <w:sz w:val="28"/>
          <w:szCs w:val="28"/>
          <w:rtl/>
        </w:rPr>
        <w:t xml:space="preserve">פרק ו: ביקורת והצעות</w:t>
      </w:r>
    </w:p>
    <w:p>
      <w:pPr>
        <w:pStyle w:val="Heading2"/>
        <w:keepNext/>
        <w:bidi/>
        <w:spacing w:after="120" w:before="160" w:line="360"/>
        <w:jc w:val="right"/>
      </w:pPr>
      <w:r>
        <w:rPr>
          <w:rFonts w:ascii="David" w:cs="David" w:eastAsia="David" w:hAnsi="David"/>
          <w:b/>
          <w:bCs/>
          <w:i w:val="false"/>
          <w:smallCaps w:val="false"/>
          <w:sz w:val="24"/>
          <w:szCs w:val="24"/>
          <w:rtl/>
        </w:rPr>
        <w:t xml:space="preserve">1. האכיפה ושיקול הדעת של היועץ המשפטי</w:t>
      </w:r>
    </w:p>
    <w:p>
      <w:pPr>
        <w:bidi/>
        <w:spacing w:after="120" w:line="360" w:lineRule="auto"/>
        <w:ind w:firstLine="0"/>
        <w:jc w:val="both"/>
      </w:pPr>
      <w:r>
        <w:rPr>
          <w:rFonts w:ascii="David" w:cs="David" w:eastAsia="David" w:hAnsi="David"/>
          <w:i w:val="false"/>
          <w:smallCaps w:val="false"/>
          <w:sz w:val="24"/>
          <w:szCs w:val="24"/>
          <w:rtl/>
        </w:rPr>
        <w:t xml:space="preserve">לפי מרשק-מרום, הגשת כתב אישום בעבירה זו "אינה עניין קל ערך", והתביעה נוהגת בזהירות ומונחית "גם לפי שיקולים ערכיים, ולא רק לפי שיקולים משפטיים".</w:t>
      </w:r>
      <w:r>
        <w:rPr>
          <w:rStyle w:val="FootnoteReference"/>
        </w:rPr>
        <w:footnoteReference w:id="55"/>
      </w:r>
      <w:r>
        <w:rPr>
          <w:rFonts w:ascii="David" w:cs="David" w:eastAsia="David" w:hAnsi="David"/>
          <w:i w:val="false"/>
          <w:smallCaps w:val="false"/>
          <w:sz w:val="24"/>
          <w:szCs w:val="24"/>
          <w:rtl/>
        </w:rPr>
        <w:t xml:space="preserve"> זהירות כזו מוצדקת. רובינשטיין עצמו כתב, בעת שכיהן כיועץ המשפטי לממשלה, שהמשפט הפלילי "אינו יכול לשמש ככלי העיקרי לחינוך הציבור להתבטאות מתונה".</w:t>
      </w:r>
      <w:r>
        <w:rPr>
          <w:rStyle w:val="FootnoteReference"/>
        </w:rPr>
        <w:footnoteReference w:id="56"/>
      </w:r>
      <w:r>
        <w:rPr>
          <w:rFonts w:ascii="David" w:cs="David" w:eastAsia="David" w:hAnsi="David"/>
          <w:i w:val="false"/>
          <w:smallCaps w:val="false"/>
          <w:sz w:val="24"/>
          <w:szCs w:val="24"/>
          <w:rtl/>
        </w:rPr>
        <w:t xml:space="preserve"> אבל פרשת תורת המלך מראה את הצד השני. בית המשפט קבע שצעדי החקירה היו "רחוקים מהיות משביעי רצון", ובכל זאת לא התערב.</w:t>
      </w:r>
      <w:r>
        <w:rPr>
          <w:rStyle w:val="FootnoteReference"/>
        </w:rPr>
        <w:footnoteReference w:id="57"/>
      </w:r>
      <w:r>
        <w:rPr>
          <w:rFonts w:ascii="David" w:cs="David" w:eastAsia="David" w:hAnsi="David"/>
          <w:i w:val="false"/>
          <w:smallCaps w:val="false"/>
          <w:sz w:val="24"/>
          <w:szCs w:val="24"/>
          <w:rtl/>
        </w:rPr>
        <w:t xml:space="preserve"> כשדרישת ההסכמה של היועץ המשפטי מצטרפת לביקורת שיפוטית מצומצמת על החלטותיו, כמעט אין ביקורת ממשית על החלטה שלא להעמיד לדין. השופט בך צפה כבר בפרשת אלבה ש"יהיה קשה מאוד לתביעה להוכיח" מטרה להסית כשהדברים על פניהם תמימים.</w:t>
      </w:r>
      <w:r>
        <w:rPr>
          <w:rStyle w:val="FootnoteReference"/>
        </w:rPr>
        <w:footnoteReference w:id="58"/>
      </w:r>
      <w:r>
        <w:rPr>
          <w:rFonts w:ascii="David" w:cs="David" w:eastAsia="David" w:hAnsi="David"/>
          <w:i w:val="false"/>
          <w:smallCaps w:val="false"/>
          <w:sz w:val="24"/>
          <w:szCs w:val="24"/>
          <w:rtl/>
        </w:rPr>
        <w:t xml:space="preserve"> מספרם הקטן של כתבי האישום מאז מראה שהקושי הזה אינו תיאורטי. הצעתי היא לפרסם הנחיה שתפרט את השיקולים להעמדה לדין לפי סעיף 144ב, ולפרסם החלטות סגירה מנומקות בתיקים שיש בהם עניין ציבורי. כך אפשר יהיה לבחון את המדיניות ולהשוות בין מקרים.</w:t>
      </w:r>
    </w:p>
    <w:p>
      <w:pPr>
        <w:pStyle w:val="Heading2"/>
        <w:keepNext/>
        <w:bidi/>
        <w:spacing w:after="120" w:before="160" w:line="360"/>
        <w:jc w:val="right"/>
      </w:pPr>
      <w:r>
        <w:rPr>
          <w:rFonts w:ascii="David" w:cs="David" w:eastAsia="David" w:hAnsi="David"/>
          <w:b/>
          <w:bCs/>
          <w:i w:val="false"/>
          <w:smallCaps w:val="false"/>
          <w:sz w:val="24"/>
          <w:szCs w:val="24"/>
          <w:rtl/>
        </w:rPr>
        <w:t xml:space="preserve">2. עקרון החוקיות</w:t>
      </w:r>
    </w:p>
    <w:p>
      <w:pPr>
        <w:bidi/>
        <w:spacing w:after="120" w:line="360" w:lineRule="auto"/>
        <w:ind w:firstLine="0"/>
        <w:jc w:val="both"/>
      </w:pPr>
      <w:r>
        <w:rPr>
          <w:rFonts w:ascii="David" w:cs="David" w:eastAsia="David" w:hAnsi="David"/>
          <w:i w:val="false"/>
          <w:smallCaps w:val="false"/>
          <w:sz w:val="24"/>
          <w:szCs w:val="24"/>
          <w:rtl/>
        </w:rPr>
        <w:t xml:space="preserve">גור-אריה מבקרת את נטייתם של בתי המשפט להשלים בפרשנות תכליתית עבירות שהגדרתן אינה ברורה, ומביאה כדוגמה את עבירת הפרת האמונים בפרשת שבח. לדבריה, כשיסודות העבירה אינם מוגדרים, ההכרעה על היקף האיסור עוברת לבית המשפט, "בסתירה בולטת לעקרון החוקיות".</w:t>
      </w:r>
      <w:r>
        <w:rPr>
          <w:rStyle w:val="FootnoteReference"/>
        </w:rPr>
        <w:footnoteReference w:id="59"/>
      </w:r>
      <w:r>
        <w:rPr>
          <w:rFonts w:ascii="David" w:cs="David" w:eastAsia="David" w:hAnsi="David"/>
          <w:i w:val="false"/>
          <w:smallCaps w:val="false"/>
          <w:sz w:val="24"/>
          <w:szCs w:val="24"/>
          <w:rtl/>
        </w:rPr>
        <w:t xml:space="preserve"> עבירת ההסתה לגזענות סובלת מבעיה דומה בשתי שכבות. ההגדרה בסעיף 144א משתמשת במונחים פתוחים כמו "ביזוי" ו"גרימת מדנים", ובשאלת היסוד הנפשי אין הכרעה כבר שלושה עשורים. השופט ג'ובראן צדק כשכתב שמצב זה פוגע בדרישה שהחוק הפלילי יהיה ברור, ומקשה על הציבור לדעת מראש מה אסור.</w:t>
      </w:r>
      <w:r>
        <w:rPr>
          <w:rStyle w:val="FootnoteReference"/>
        </w:rPr>
        <w:footnoteReference w:id="60"/>
      </w:r>
    </w:p>
    <w:p>
      <w:pPr>
        <w:bidi/>
        <w:spacing w:after="120" w:line="360" w:lineRule="auto"/>
        <w:ind w:firstLine="0"/>
        <w:jc w:val="both"/>
      </w:pPr>
      <w:r>
        <w:rPr>
          <w:rFonts w:ascii="David" w:cs="David" w:eastAsia="David" w:hAnsi="David"/>
          <w:i w:val="false"/>
          <w:smallCaps w:val="false"/>
          <w:sz w:val="24"/>
          <w:szCs w:val="24"/>
          <w:rtl/>
        </w:rPr>
        <w:t xml:space="preserve">מנגד, סעיף 34כא לחוק קובע שכאשר לחיקוק יש כמה פירושים סבירים לפי תכליתו, יש להכריע לפי הפירוש המקל עם מי שאמור לשאת באחריות פלילית.</w:t>
      </w:r>
      <w:r>
        <w:rPr>
          <w:rStyle w:val="FootnoteReference"/>
        </w:rPr>
        <w:footnoteReference w:id="61"/>
      </w:r>
      <w:r>
        <w:rPr>
          <w:rFonts w:ascii="David" w:cs="David" w:eastAsia="David" w:hAnsi="David"/>
          <w:i w:val="false"/>
          <w:smallCaps w:val="false"/>
          <w:sz w:val="24"/>
          <w:szCs w:val="24"/>
          <w:rtl/>
        </w:rPr>
        <w:t xml:space="preserve"> אפשר לטעון שכל עוד השאלה פתוחה, הסעיף מחייב דווקא שלא להחיל את הלכת הצפיות. זו סיבה נוספת לכך שההכרעה צריכה לבוא מהמחוקק. תיקון קצר של סעיף 144ב, שיקבע במפורש שצפייה ברמה של קרוב לוודאי כמוה כמטרה ויעגן את דרישת התוכן שקבע ברק, יפתור את שתי הבעיות יחד.</w:t>
      </w:r>
    </w:p>
    <w:p>
      <w:pPr>
        <w:pStyle w:val="Heading2"/>
        <w:keepNext/>
        <w:bidi/>
        <w:spacing w:after="120" w:before="160" w:line="360"/>
        <w:jc w:val="right"/>
      </w:pPr>
      <w:r>
        <w:rPr>
          <w:rFonts w:ascii="David" w:cs="David" w:eastAsia="David" w:hAnsi="David"/>
          <w:b/>
          <w:bCs/>
          <w:i w:val="false"/>
          <w:smallCaps w:val="false"/>
          <w:sz w:val="24"/>
          <w:szCs w:val="24"/>
          <w:rtl/>
        </w:rPr>
        <w:t xml:space="preserve">3. הרשתות החברתיות</w:t>
      </w:r>
    </w:p>
    <w:p>
      <w:pPr>
        <w:bidi/>
        <w:spacing w:after="120" w:line="360" w:lineRule="auto"/>
        <w:ind w:firstLine="0"/>
        <w:jc w:val="both"/>
      </w:pPr>
      <w:r>
        <w:rPr>
          <w:rFonts w:ascii="David" w:cs="David" w:eastAsia="David" w:hAnsi="David"/>
          <w:i w:val="false"/>
          <w:smallCaps w:val="false"/>
          <w:sz w:val="24"/>
          <w:szCs w:val="24"/>
          <w:rtl/>
        </w:rPr>
        <w:t xml:space="preserve">השופט ג'ובראן הזכיר בפרשת תורת המלך את המציאות "שבה דברי הסתה הנכתבים בעט מושחזת גוררים אחריהם לא אחת שימוש קטלני בסכין מושחזת".</w:t>
      </w:r>
      <w:r>
        <w:rPr>
          <w:rStyle w:val="FootnoteReference"/>
        </w:rPr>
        <w:footnoteReference w:id="62"/>
      </w:r>
      <w:r>
        <w:rPr>
          <w:rFonts w:ascii="David" w:cs="David" w:eastAsia="David" w:hAnsi="David"/>
          <w:i w:val="false"/>
          <w:smallCaps w:val="false"/>
          <w:sz w:val="24"/>
          <w:szCs w:val="24"/>
          <w:rtl/>
        </w:rPr>
        <w:t xml:space="preserve"> ברשתות החברתיות כל משתמש יכול להפיץ מסר לאלפי אנשים ברגע. לפי השופט מצא, גם פרסום של דבר שחיבר אדם אחר ממלא את היסוד העובדתי,</w:t>
      </w:r>
      <w:r>
        <w:rPr>
          <w:rStyle w:val="FootnoteReference"/>
        </w:rPr>
        <w:footnoteReference w:id="63"/>
      </w:r>
      <w:r>
        <w:rPr>
          <w:rFonts w:ascii="David" w:cs="David" w:eastAsia="David" w:hAnsi="David"/>
          <w:i w:val="false"/>
          <w:smallCaps w:val="false"/>
          <w:sz w:val="24"/>
          <w:szCs w:val="24"/>
          <w:rtl/>
        </w:rPr>
        <w:t xml:space="preserve"> ולכן שיתוף של פוסט גזעני עשוי להיחשב "פרסום". כאן שאלת היסוד הנפשי חשובה עוד יותר: מי שמשתף פוסט כזה צופה בדרך כלל את השפעתו, אבל לא תמיד רוצה בה. בלי הכרעה בשאלת הלכת הצפיות קשה לדעת אם מעשה כזה נכנס לגדר העבירה.</w:t>
      </w:r>
    </w:p>
    <w:p>
      <w:pPr>
        <w:pStyle w:val="Heading2"/>
        <w:keepNext/>
        <w:bidi/>
        <w:spacing w:after="120" w:before="160" w:line="360"/>
        <w:jc w:val="right"/>
      </w:pPr>
      <w:r>
        <w:rPr>
          <w:rFonts w:ascii="David" w:cs="David" w:eastAsia="David" w:hAnsi="David"/>
          <w:b/>
          <w:bCs/>
          <w:i w:val="false"/>
          <w:smallCaps w:val="false"/>
          <w:sz w:val="24"/>
          <w:szCs w:val="24"/>
          <w:rtl/>
        </w:rPr>
        <w:t xml:space="preserve">4. דרכים שאינן פליליות</w:t>
      </w:r>
    </w:p>
    <w:p>
      <w:pPr>
        <w:bidi/>
        <w:spacing w:after="120" w:line="360" w:lineRule="auto"/>
        <w:ind w:firstLine="0"/>
        <w:jc w:val="both"/>
      </w:pPr>
      <w:r>
        <w:rPr>
          <w:rFonts w:ascii="David" w:cs="David" w:eastAsia="David" w:hAnsi="David"/>
          <w:i w:val="false"/>
          <w:smallCaps w:val="false"/>
          <w:sz w:val="24"/>
          <w:szCs w:val="24"/>
          <w:rtl/>
        </w:rPr>
        <w:t xml:space="preserve">המשפט הפלילי אינו הכלי היחיד. סעיף 7א לחוק-יסוד: הכנסת מאפשר למנוע מרשימה או ממועמד שמסיתים לגזענות להתמודד בבחירות. בפרשת כסיף, שעסקה בבקשה לפסול מועמד, הובהר שהסתה לגזענות נבחנת גם שם כהתנהגות, בלי צורך להוכיח שהביאה לתוצאה, ושהיא נתפסת כביטוי שפוגע בכבוד האדם, בשוויון ובאופייה הדמוקרטי של המדינה.</w:t>
      </w:r>
      <w:r>
        <w:rPr>
          <w:rStyle w:val="FootnoteReference"/>
        </w:rPr>
        <w:footnoteReference w:id="64"/>
      </w:r>
      <w:r>
        <w:rPr>
          <w:rFonts w:ascii="David" w:cs="David" w:eastAsia="David" w:hAnsi="David"/>
          <w:i w:val="false"/>
          <w:smallCaps w:val="false"/>
          <w:sz w:val="24"/>
          <w:szCs w:val="24"/>
          <w:rtl/>
        </w:rPr>
        <w:t xml:space="preserve"> גם רשם העמותות רשאי לסרב לרשום עמותה שמטרתה ביצוע עבירה לפי סעיף 144ב, או שהיא משמשת מסווה לפעולה כזו.</w:t>
      </w:r>
      <w:r>
        <w:rPr>
          <w:rStyle w:val="FootnoteReference"/>
        </w:rPr>
        <w:footnoteReference w:id="65"/>
      </w:r>
      <w:r>
        <w:rPr>
          <w:rFonts w:ascii="David" w:cs="David" w:eastAsia="David" w:hAnsi="David"/>
          <w:i w:val="false"/>
          <w:smallCaps w:val="false"/>
          <w:sz w:val="24"/>
          <w:szCs w:val="24"/>
          <w:rtl/>
        </w:rPr>
        <w:t xml:space="preserve"> רובי סיבל מציע להעביר חלק מהמאבק בביטויים אנטישמיים לתביעות אזרחיות, שבהן די במאזן הסתברויות ואין צורך בהוכחה מעבר לספק סביר.</w:t>
      </w:r>
      <w:r>
        <w:rPr>
          <w:rStyle w:val="FootnoteReference"/>
        </w:rPr>
        <w:footnoteReference w:id="66"/>
      </w:r>
      <w:r>
        <w:rPr>
          <w:rFonts w:ascii="David" w:cs="David" w:eastAsia="David" w:hAnsi="David"/>
          <w:i w:val="false"/>
          <w:smallCaps w:val="false"/>
          <w:sz w:val="24"/>
          <w:szCs w:val="24"/>
          <w:rtl/>
        </w:rPr>
        <w:t xml:space="preserve"> לכלים האלה יש יתרון: הם אינם כרוכים בענישה, ולכן פגיעתם בחופש הביטוי קטנה יותר. אבל הם אינם תחליף מלא לאיסור הפלילי, שמבטא את סלידתה של החברה מהסתה גזענית. לדעתי הם צריכים להשלים את סעיף 144ב, ולא להחליף אותו.</w:t>
      </w:r>
    </w:p>
    <w:p>
      <w:pPr>
        <w:pStyle w:val="Heading1"/>
        <w:keepNext/>
        <w:bidi/>
        <w:spacing w:after="120" w:before="240" w:line="360"/>
        <w:jc w:val="right"/>
      </w:pPr>
      <w:r>
        <w:rPr>
          <w:rFonts w:ascii="David" w:cs="David" w:eastAsia="David" w:hAnsi="David"/>
          <w:b/>
          <w:bCs/>
          <w:i w:val="false"/>
          <w:smallCaps w:val="false"/>
          <w:sz w:val="28"/>
          <w:szCs w:val="28"/>
          <w:rtl/>
        </w:rPr>
        <w:t xml:space="preserve">סיכום</w:t>
      </w:r>
    </w:p>
    <w:p>
      <w:pPr>
        <w:bidi/>
        <w:spacing w:after="120" w:line="360" w:lineRule="auto"/>
        <w:ind w:firstLine="0"/>
        <w:jc w:val="both"/>
      </w:pPr>
      <w:r>
        <w:rPr>
          <w:rFonts w:ascii="David" w:cs="David" w:eastAsia="David" w:hAnsi="David"/>
          <w:i w:val="false"/>
          <w:smallCaps w:val="false"/>
          <w:sz w:val="24"/>
          <w:szCs w:val="24"/>
          <w:rtl/>
        </w:rPr>
        <w:t xml:space="preserve">עבירת ההסתה לגזענות נחקקה כתגובה לגזענות של תנועת כך, ובפסיקה היא התפתחה לכלי שמגן על כל קבוצה. בשאלת התוכן הפסיקה מצאה איזון: בעקבות הנשיא ברק נדרש שהטקסט עצמו, לפי מובנו לשומע ובהקשרו, יבטא הסתה, וכך נמנעת ענישה על מחשבה בלבד. פרשות העברי וסלאח מראות שהמבחן גמיש מספיק כדי לתפוס גם סיסמה קצרה וגם רמז לעלילת דם.</w:t>
      </w:r>
    </w:p>
    <w:p>
      <w:pPr>
        <w:bidi/>
        <w:spacing w:after="120" w:line="360" w:lineRule="auto"/>
        <w:ind w:firstLine="0"/>
        <w:jc w:val="both"/>
      </w:pPr>
      <w:r>
        <w:rPr>
          <w:rFonts w:ascii="David" w:cs="David" w:eastAsia="David" w:hAnsi="David"/>
          <w:i w:val="false"/>
          <w:smallCaps w:val="false"/>
          <w:sz w:val="24"/>
          <w:szCs w:val="24"/>
          <w:rtl/>
        </w:rPr>
        <w:t xml:space="preserve">בשאלת היסוד הנפשי הדין עדיין לא ברור. המחלוקת בין מצא לבין ברק ב-1996 חזרה כמעט כלשונה בין ג'ובראן לבין רובינשטיין ב-2015, ולא הוכרעה. יחד עם דרישת ההסכמה של היועץ המשפטי והביקורת השיפוטית המצומצמת, אי-הוודאות הזו משאירה את היקף העבירה בידי רשויות התביעה. הצעתי היא להכריע בחקיקה: להחיל את הלכת הצפיות, לעגן את דרישת התוכן האובייקטיבי ולשמור על הסייגים שבסעיף 144ג. כך תוכל העבירה להגן על כבוד האדם ועל השוויון בלי לפגוע בחופש הביטוי יותר מהנדרש.</w:t>
      </w:r>
    </w:p>
    <w:p>
      <w:pPr>
        <w:bidi/>
        <w:spacing w:after="120" w:line="360" w:lineRule="auto"/>
        <w:ind w:firstLine="0"/>
        <w:jc w:val="both"/>
      </w:pPr>
      <w:r>
        <w:rPr>
          <w:rFonts w:ascii="David" w:cs="David" w:eastAsia="David" w:hAnsi="David"/>
          <w:i w:val="false"/>
          <w:smallCaps w:val="false"/>
          <w:sz w:val="24"/>
          <w:szCs w:val="24"/>
          <w:rtl/>
        </w:rPr>
        <w:t xml:space="preserve">הצורך בהכרעה ילך ויגבר. רוב הביטויים הגזעניים כיום אינם מתפרסמים במאמרים הלכתיים או בדרשות מול קהל, אלא ברשתות החברתיות, בשיתופים ובתגובות קצרות. במקרים אלה כמעט אין אפשרות להוכיח מה רצה המפרסם, והשאלה אם די בכך שצפה את התוצאה תהיה לעיתים קרובות השאלה המכרעת. עבירה שנולדה נגד תנועה פוליטית מאורגנת צריכה היום להתמודד עם הפצה מבוזרת, והכלים הפרשניים שעוצבו לפני שלושים שנה אינם מספיקים לכך בלי הבהרה של המחוקק.</w:t>
      </w:r>
    </w:p>
    <w:p>
      <w:pPr>
        <w:sectPr>
          <w:footerReference w:type="default" r:id="rId7"/>
          <w:pgSz w:w="11906" w:h="16838" w:orient="portrait"/>
          <w:pgMar w:top="1440" w:right="1440" w:bottom="1440" w:left="1440" w:header="708" w:footer="708" w:gutter="0"/>
          <w:pgNumType w:start="1"/>
          <w:bidi/>
          <w:docGrid w:linePitch="360"/>
        </w:sectPr>
      </w:pPr>
    </w:p>
    <w:p>
      <w:pPr>
        <w:pStyle w:val="Heading1"/>
        <w:bidi/>
        <w:spacing w:after="200"/>
        <w:jc w:val="right"/>
      </w:pPr>
      <w:r>
        <w:rPr>
          <w:rFonts w:ascii="David" w:cs="David" w:eastAsia="David" w:hAnsi="David"/>
          <w:b/>
          <w:bCs/>
          <w:i w:val="false"/>
          <w:smallCaps w:val="false"/>
          <w:sz w:val="28"/>
          <w:szCs w:val="28"/>
          <w:rtl/>
        </w:rPr>
        <w:t xml:space="preserve">רשימה ביבליוגרפית</w:t>
      </w:r>
    </w:p>
    <w:p>
      <w:pPr>
        <w:keepNext/>
        <w:bidi/>
        <w:spacing w:after="100" w:before="200"/>
        <w:jc w:val="right"/>
      </w:pPr>
      <w:r>
        <w:rPr>
          <w:rFonts w:ascii="David" w:cs="David" w:eastAsia="David" w:hAnsi="David"/>
          <w:b/>
          <w:bCs/>
          <w:i w:val="false"/>
          <w:smallCaps w:val="false"/>
          <w:sz w:val="24"/>
          <w:szCs w:val="24"/>
          <w:rtl/>
        </w:rPr>
        <w:t xml:space="preserve">חקיקה ואמנות</w:t>
      </w:r>
    </w:p>
    <w:p>
      <w:pPr>
        <w:bidi/>
        <w:spacing w:after="100" w:line="276"/>
        <w:ind w:right="567" w:hanging="567"/>
        <w:jc w:val="both"/>
      </w:pPr>
      <w:r>
        <w:rPr>
          <w:rFonts w:ascii="David" w:cs="David" w:eastAsia="David" w:hAnsi="David"/>
          <w:i w:val="false"/>
          <w:smallCaps w:val="false"/>
          <w:sz w:val="24"/>
          <w:szCs w:val="24"/>
          <w:rtl/>
        </w:rPr>
        <w:t xml:space="preserve">חוק-יסוד: הכנסת.</w:t>
      </w:r>
    </w:p>
    <w:p>
      <w:pPr>
        <w:bidi/>
        <w:spacing w:after="100" w:line="276"/>
        <w:ind w:right="567" w:hanging="567"/>
        <w:jc w:val="both"/>
      </w:pPr>
      <w:r>
        <w:rPr>
          <w:rFonts w:ascii="David" w:cs="David" w:eastAsia="David" w:hAnsi="David"/>
          <w:i w:val="false"/>
          <w:smallCaps w:val="false"/>
          <w:sz w:val="24"/>
          <w:szCs w:val="24"/>
          <w:rtl/>
        </w:rPr>
        <w:t xml:space="preserve">חוק-יסוד: כבוד האדם וחירותו.</w:t>
      </w:r>
    </w:p>
    <w:p>
      <w:pPr>
        <w:bidi/>
        <w:spacing w:after="100" w:line="276"/>
        <w:ind w:right="567" w:hanging="567"/>
        <w:jc w:val="both"/>
      </w:pPr>
      <w:r>
        <w:rPr>
          <w:rFonts w:ascii="David" w:cs="David" w:eastAsia="David" w:hAnsi="David"/>
          <w:i w:val="false"/>
          <w:smallCaps w:val="false"/>
          <w:sz w:val="24"/>
          <w:szCs w:val="24"/>
          <w:rtl/>
        </w:rPr>
        <w:t xml:space="preserve">חוק העונשין, התשל"ז–1977.</w:t>
      </w:r>
    </w:p>
    <w:p>
      <w:pPr>
        <w:bidi/>
        <w:spacing w:after="100" w:line="276"/>
        <w:ind w:right="567" w:hanging="567"/>
        <w:jc w:val="both"/>
      </w:pPr>
      <w:r>
        <w:rPr>
          <w:rFonts w:ascii="David" w:cs="David" w:eastAsia="David" w:hAnsi="David"/>
          <w:i w:val="false"/>
          <w:smallCaps w:val="false"/>
          <w:sz w:val="24"/>
          <w:szCs w:val="24"/>
          <w:rtl/>
        </w:rPr>
        <w:t xml:space="preserve">חוק העונשין (תיקון מס' 20), התשמ"ו–1986.</w:t>
      </w:r>
    </w:p>
    <w:p>
      <w:pPr>
        <w:bidi/>
        <w:spacing w:after="100" w:line="276"/>
        <w:ind w:right="567" w:hanging="567"/>
        <w:jc w:val="both"/>
      </w:pPr>
      <w:r>
        <w:rPr>
          <w:rFonts w:ascii="David" w:cs="David" w:eastAsia="David" w:hAnsi="David"/>
          <w:i w:val="false"/>
          <w:smallCaps w:val="false"/>
          <w:sz w:val="24"/>
          <w:szCs w:val="24"/>
          <w:rtl/>
        </w:rPr>
        <w:t xml:space="preserve">חוק איסור הכחשת השואה, התשמ"ו–1986.</w:t>
      </w:r>
    </w:p>
    <w:p>
      <w:pPr>
        <w:bidi/>
        <w:spacing w:after="100" w:line="276"/>
        <w:ind w:right="567" w:hanging="567"/>
        <w:jc w:val="both"/>
      </w:pPr>
      <w:r>
        <w:rPr>
          <w:rFonts w:ascii="David" w:cs="David" w:eastAsia="David" w:hAnsi="David"/>
          <w:i w:val="false"/>
          <w:smallCaps w:val="false"/>
          <w:sz w:val="24"/>
          <w:szCs w:val="24"/>
          <w:rtl/>
        </w:rPr>
        <w:t xml:space="preserve">אמנה בין-לאומית בדבר ביעורן של כל הצורות של אפליה גזעית, כ"א 25, 547 (נפתחה לחתימה ב-1966).</w:t>
      </w:r>
    </w:p>
    <w:p>
      <w:pPr>
        <w:keepNext/>
        <w:bidi/>
        <w:spacing w:after="100" w:before="200"/>
        <w:jc w:val="right"/>
      </w:pPr>
      <w:r>
        <w:rPr>
          <w:rFonts w:ascii="David" w:cs="David" w:eastAsia="David" w:hAnsi="David"/>
          <w:b/>
          <w:bCs/>
          <w:i w:val="false"/>
          <w:smallCaps w:val="false"/>
          <w:sz w:val="24"/>
          <w:szCs w:val="24"/>
          <w:rtl/>
        </w:rPr>
        <w:t xml:space="preserve">פסיקה ישראלית</w:t>
      </w:r>
    </w:p>
    <w:p>
      <w:pPr>
        <w:bidi/>
        <w:spacing w:after="100" w:line="276"/>
        <w:ind w:right="567" w:hanging="567"/>
        <w:jc w:val="both"/>
      </w:pPr>
      <w:r>
        <w:rPr>
          <w:rFonts w:ascii="David" w:cs="David" w:eastAsia="David" w:hAnsi="David"/>
          <w:i w:val="false"/>
          <w:smallCaps w:val="false"/>
          <w:sz w:val="24"/>
          <w:szCs w:val="24"/>
          <w:rtl/>
        </w:rPr>
        <w:t xml:space="preserve">א"ב 1806/19 </w:t>
      </w:r>
      <w:r>
        <w:rPr>
          <w:rFonts w:ascii="David" w:cs="David" w:eastAsia="David" w:hAnsi="David"/>
          <w:b/>
          <w:bCs/>
          <w:i w:val="false"/>
          <w:smallCaps w:val="false"/>
          <w:sz w:val="24"/>
          <w:szCs w:val="24"/>
          <w:rtl/>
        </w:rPr>
        <w:t xml:space="preserve">ועדת הבחירות המרכזית לכנסת ה-21 נ' כסיף</w:t>
      </w:r>
      <w:r>
        <w:rPr>
          <w:rFonts w:ascii="David" w:cs="David" w:eastAsia="David" w:hAnsi="David"/>
          <w:i w:val="false"/>
          <w:smallCaps w:val="false"/>
          <w:sz w:val="24"/>
          <w:szCs w:val="24"/>
          <w:rtl/>
        </w:rPr>
        <w:t xml:space="preserve"> (נבו 18.7.2019).</w:t>
      </w:r>
    </w:p>
    <w:p>
      <w:pPr>
        <w:bidi/>
        <w:spacing w:after="100" w:line="276"/>
        <w:ind w:right="567" w:hanging="567"/>
        <w:jc w:val="both"/>
      </w:pPr>
      <w:r>
        <w:rPr>
          <w:rFonts w:ascii="David" w:cs="David" w:eastAsia="David" w:hAnsi="David"/>
          <w:i w:val="false"/>
          <w:smallCaps w:val="false"/>
          <w:sz w:val="24"/>
          <w:szCs w:val="24"/>
          <w:rtl/>
        </w:rPr>
        <w:t xml:space="preserve">בג"ץ 73/53 </w:t>
      </w:r>
      <w:r>
        <w:rPr>
          <w:rFonts w:ascii="David" w:cs="David" w:eastAsia="David" w:hAnsi="David"/>
          <w:b/>
          <w:bCs/>
          <w:i w:val="false"/>
          <w:smallCaps w:val="false"/>
          <w:sz w:val="24"/>
          <w:szCs w:val="24"/>
          <w:rtl/>
        </w:rPr>
        <w:t xml:space="preserve">חברת "קול העם" בע"מ נ' שר הפנים</w:t>
      </w:r>
      <w:r>
        <w:rPr>
          <w:rFonts w:ascii="David" w:cs="David" w:eastAsia="David" w:hAnsi="David"/>
          <w:i w:val="false"/>
          <w:smallCaps w:val="false"/>
          <w:sz w:val="24"/>
          <w:szCs w:val="24"/>
          <w:rtl/>
        </w:rPr>
        <w:t xml:space="preserve">, פ"ד ז 871 (1953).</w:t>
      </w:r>
    </w:p>
    <w:p>
      <w:pPr>
        <w:bidi/>
        <w:spacing w:after="100" w:line="276"/>
        <w:ind w:right="567" w:hanging="567"/>
        <w:jc w:val="both"/>
      </w:pPr>
      <w:r>
        <w:rPr>
          <w:rFonts w:ascii="David" w:cs="David" w:eastAsia="David" w:hAnsi="David"/>
          <w:i w:val="false"/>
          <w:smallCaps w:val="false"/>
          <w:sz w:val="24"/>
          <w:szCs w:val="24"/>
          <w:rtl/>
        </w:rPr>
        <w:t xml:space="preserve">בג"ץ 399/85 </w:t>
      </w:r>
      <w:r>
        <w:rPr>
          <w:rFonts w:ascii="David" w:cs="David" w:eastAsia="David" w:hAnsi="David"/>
          <w:b/>
          <w:bCs/>
          <w:i w:val="false"/>
          <w:smallCaps w:val="false"/>
          <w:sz w:val="24"/>
          <w:szCs w:val="24"/>
          <w:rtl/>
        </w:rPr>
        <w:t xml:space="preserve">כהנא נ' הוועד המנהל של רשות השידור</w:t>
      </w:r>
      <w:r>
        <w:rPr>
          <w:rFonts w:ascii="David" w:cs="David" w:eastAsia="David" w:hAnsi="David"/>
          <w:i w:val="false"/>
          <w:smallCaps w:val="false"/>
          <w:sz w:val="24"/>
          <w:szCs w:val="24"/>
          <w:rtl/>
        </w:rPr>
        <w:t xml:space="preserve">, פ"ד מא(3) 255 (1987).</w:t>
      </w:r>
    </w:p>
    <w:p>
      <w:pPr>
        <w:bidi/>
        <w:spacing w:after="100" w:line="276"/>
        <w:ind w:right="567" w:hanging="567"/>
        <w:jc w:val="both"/>
      </w:pPr>
      <w:r>
        <w:rPr>
          <w:rFonts w:ascii="David" w:cs="David" w:eastAsia="David" w:hAnsi="David"/>
          <w:i w:val="false"/>
          <w:smallCaps w:val="false"/>
          <w:sz w:val="24"/>
          <w:szCs w:val="24"/>
          <w:rtl/>
        </w:rPr>
        <w:t xml:space="preserve">בג"ץ 2684/12 </w:t>
      </w:r>
      <w:r>
        <w:rPr>
          <w:rFonts w:ascii="David" w:cs="David" w:eastAsia="David" w:hAnsi="David"/>
          <w:b/>
          <w:bCs/>
          <w:i w:val="false"/>
          <w:smallCaps w:val="false"/>
          <w:sz w:val="24"/>
          <w:szCs w:val="24"/>
          <w:rtl/>
        </w:rPr>
        <w:t xml:space="preserve">י"ב בחשוון התנועה לחיזוק הסובלנות בחינוך הדתי נ' היועץ המשפטי לממשלה</w:t>
      </w:r>
      <w:r>
        <w:rPr>
          <w:rFonts w:ascii="David" w:cs="David" w:eastAsia="David" w:hAnsi="David"/>
          <w:i w:val="false"/>
          <w:smallCaps w:val="false"/>
          <w:sz w:val="24"/>
          <w:szCs w:val="24"/>
          <w:rtl/>
        </w:rPr>
        <w:t xml:space="preserve"> (נבו 9.12.2015).</w:t>
      </w:r>
    </w:p>
    <w:p>
      <w:pPr>
        <w:bidi/>
        <w:spacing w:after="100" w:line="276"/>
        <w:ind w:right="567" w:hanging="567"/>
        <w:jc w:val="both"/>
      </w:pPr>
      <w:r>
        <w:rPr>
          <w:rFonts w:ascii="David" w:cs="David" w:eastAsia="David" w:hAnsi="David"/>
          <w:i w:val="false"/>
          <w:smallCaps w:val="false"/>
          <w:sz w:val="24"/>
          <w:szCs w:val="24"/>
          <w:rtl/>
        </w:rPr>
        <w:t xml:space="preserve">דנ"פ 1397/03 </w:t>
      </w:r>
      <w:r>
        <w:rPr>
          <w:rFonts w:ascii="David" w:cs="David" w:eastAsia="David" w:hAnsi="David"/>
          <w:b/>
          <w:bCs/>
          <w:i w:val="false"/>
          <w:smallCaps w:val="false"/>
          <w:sz w:val="24"/>
          <w:szCs w:val="24"/>
          <w:rtl/>
        </w:rPr>
        <w:t xml:space="preserve">מדינת ישראל נ' שבח</w:t>
      </w:r>
      <w:r>
        <w:rPr>
          <w:rFonts w:ascii="David" w:cs="David" w:eastAsia="David" w:hAnsi="David"/>
          <w:i w:val="false"/>
          <w:smallCaps w:val="false"/>
          <w:sz w:val="24"/>
          <w:szCs w:val="24"/>
          <w:rtl/>
        </w:rPr>
        <w:t xml:space="preserve">, פ"ד נט(4) 385 (2004).</w:t>
      </w:r>
    </w:p>
    <w:p>
      <w:pPr>
        <w:bidi/>
        <w:spacing w:after="100" w:line="276"/>
        <w:ind w:right="567" w:hanging="567"/>
        <w:jc w:val="both"/>
      </w:pPr>
      <w:r>
        <w:rPr>
          <w:rFonts w:ascii="David" w:cs="David" w:eastAsia="David" w:hAnsi="David"/>
          <w:i w:val="false"/>
          <w:smallCaps w:val="false"/>
          <w:sz w:val="24"/>
          <w:szCs w:val="24"/>
          <w:rtl/>
        </w:rPr>
        <w:t xml:space="preserve">דנ"פ 8613/96 </w:t>
      </w:r>
      <w:r>
        <w:rPr>
          <w:rFonts w:ascii="David" w:cs="David" w:eastAsia="David" w:hAnsi="David"/>
          <w:b/>
          <w:bCs/>
          <w:i w:val="false"/>
          <w:smallCaps w:val="false"/>
          <w:sz w:val="24"/>
          <w:szCs w:val="24"/>
          <w:rtl/>
        </w:rPr>
        <w:t xml:space="preserve">ג'בארין נ' מדינת ישראל</w:t>
      </w:r>
      <w:r>
        <w:rPr>
          <w:rFonts w:ascii="David" w:cs="David" w:eastAsia="David" w:hAnsi="David"/>
          <w:i w:val="false"/>
          <w:smallCaps w:val="false"/>
          <w:sz w:val="24"/>
          <w:szCs w:val="24"/>
          <w:rtl/>
        </w:rPr>
        <w:t xml:space="preserve">, פ"ד נד(5) 193 (2000).</w:t>
      </w:r>
    </w:p>
    <w:p>
      <w:pPr>
        <w:bidi/>
        <w:spacing w:after="100" w:line="276"/>
        <w:ind w:right="567" w:hanging="567"/>
        <w:jc w:val="both"/>
      </w:pPr>
      <w:r>
        <w:rPr>
          <w:rFonts w:ascii="David" w:cs="David" w:eastAsia="David" w:hAnsi="David"/>
          <w:i w:val="false"/>
          <w:smallCaps w:val="false"/>
          <w:sz w:val="24"/>
          <w:szCs w:val="24"/>
          <w:rtl/>
        </w:rPr>
        <w:t xml:space="preserve">ע"ב 1/88 </w:t>
      </w:r>
      <w:r>
        <w:rPr>
          <w:rFonts w:ascii="David" w:cs="David" w:eastAsia="David" w:hAnsi="David"/>
          <w:b/>
          <w:bCs/>
          <w:i w:val="false"/>
          <w:smallCaps w:val="false"/>
          <w:sz w:val="24"/>
          <w:szCs w:val="24"/>
          <w:rtl/>
        </w:rPr>
        <w:t xml:space="preserve">ניימן נ' יו"ר ועדת הבחירות המרכזית לכנסת השתים-עשרה</w:t>
      </w:r>
      <w:r>
        <w:rPr>
          <w:rFonts w:ascii="David" w:cs="David" w:eastAsia="David" w:hAnsi="David"/>
          <w:i w:val="false"/>
          <w:smallCaps w:val="false"/>
          <w:sz w:val="24"/>
          <w:szCs w:val="24"/>
          <w:rtl/>
        </w:rPr>
        <w:t xml:space="preserve">, פ"ד מב(4) 177 (1988).</w:t>
      </w:r>
    </w:p>
    <w:p>
      <w:pPr>
        <w:bidi/>
        <w:spacing w:after="100" w:line="276"/>
        <w:ind w:right="567" w:hanging="567"/>
        <w:jc w:val="both"/>
      </w:pPr>
      <w:r>
        <w:rPr>
          <w:rFonts w:ascii="David" w:cs="David" w:eastAsia="David" w:hAnsi="David"/>
          <w:i w:val="false"/>
          <w:smallCaps w:val="false"/>
          <w:sz w:val="24"/>
          <w:szCs w:val="24"/>
          <w:rtl/>
        </w:rPr>
        <w:t xml:space="preserve">ע"פ 99/14 </w:t>
      </w:r>
      <w:r>
        <w:rPr>
          <w:rFonts w:ascii="David" w:cs="David" w:eastAsia="David" w:hAnsi="David"/>
          <w:b/>
          <w:bCs/>
          <w:i w:val="false"/>
          <w:smallCaps w:val="false"/>
          <w:sz w:val="24"/>
          <w:szCs w:val="24"/>
          <w:rtl/>
        </w:rPr>
        <w:t xml:space="preserve">מדינת ישראל נ' מליסרון בע"מ</w:t>
      </w:r>
      <w:r>
        <w:rPr>
          <w:rFonts w:ascii="David" w:cs="David" w:eastAsia="David" w:hAnsi="David"/>
          <w:i w:val="false"/>
          <w:smallCaps w:val="false"/>
          <w:sz w:val="24"/>
          <w:szCs w:val="24"/>
          <w:rtl/>
        </w:rPr>
        <w:t xml:space="preserve"> (נבו 25.12.2014).</w:t>
      </w:r>
    </w:p>
    <w:p>
      <w:pPr>
        <w:bidi/>
        <w:spacing w:after="100" w:line="276"/>
        <w:ind w:right="567" w:hanging="567"/>
        <w:jc w:val="both"/>
      </w:pPr>
      <w:r>
        <w:rPr>
          <w:rFonts w:ascii="David" w:cs="David" w:eastAsia="David" w:hAnsi="David"/>
          <w:i w:val="false"/>
          <w:smallCaps w:val="false"/>
          <w:sz w:val="24"/>
          <w:szCs w:val="24"/>
          <w:rtl/>
        </w:rPr>
        <w:t xml:space="preserve">ע"פ 2831/95 </w:t>
      </w:r>
      <w:r>
        <w:rPr>
          <w:rFonts w:ascii="David" w:cs="David" w:eastAsia="David" w:hAnsi="David"/>
          <w:b/>
          <w:bCs/>
          <w:i w:val="false"/>
          <w:smallCaps w:val="false"/>
          <w:sz w:val="24"/>
          <w:szCs w:val="24"/>
          <w:rtl/>
        </w:rPr>
        <w:t xml:space="preserve">אלבה נ' מדינת ישראל</w:t>
      </w:r>
      <w:r>
        <w:rPr>
          <w:rFonts w:ascii="David" w:cs="David" w:eastAsia="David" w:hAnsi="David"/>
          <w:i w:val="false"/>
          <w:smallCaps w:val="false"/>
          <w:sz w:val="24"/>
          <w:szCs w:val="24"/>
          <w:rtl/>
        </w:rPr>
        <w:t xml:space="preserve">, פ"ד נ(5) 221 (1996).</w:t>
      </w:r>
    </w:p>
    <w:p>
      <w:pPr>
        <w:bidi/>
        <w:spacing w:after="100" w:line="276"/>
        <w:ind w:right="567" w:hanging="567"/>
        <w:jc w:val="both"/>
      </w:pPr>
      <w:r>
        <w:rPr>
          <w:rFonts w:ascii="David" w:cs="David" w:eastAsia="David" w:hAnsi="David"/>
          <w:i w:val="false"/>
          <w:smallCaps w:val="false"/>
          <w:sz w:val="24"/>
          <w:szCs w:val="24"/>
          <w:rtl/>
        </w:rPr>
        <w:t xml:space="preserve">ע"פ 6696/96 </w:t>
      </w:r>
      <w:r>
        <w:rPr>
          <w:rFonts w:ascii="David" w:cs="David" w:eastAsia="David" w:hAnsi="David"/>
          <w:b/>
          <w:bCs/>
          <w:i w:val="false"/>
          <w:smallCaps w:val="false"/>
          <w:sz w:val="24"/>
          <w:szCs w:val="24"/>
          <w:rtl/>
        </w:rPr>
        <w:t xml:space="preserve">כהנא נ' מדינת ישראל</w:t>
      </w:r>
      <w:r>
        <w:rPr>
          <w:rFonts w:ascii="David" w:cs="David" w:eastAsia="David" w:hAnsi="David"/>
          <w:i w:val="false"/>
          <w:smallCaps w:val="false"/>
          <w:sz w:val="24"/>
          <w:szCs w:val="24"/>
          <w:rtl/>
        </w:rPr>
        <w:t xml:space="preserve">, פ"ד נב(1) 535 (1998).</w:t>
      </w:r>
    </w:p>
    <w:p>
      <w:pPr>
        <w:bidi/>
        <w:spacing w:after="100" w:line="276"/>
        <w:ind w:right="567" w:hanging="567"/>
        <w:jc w:val="both"/>
      </w:pPr>
      <w:r>
        <w:rPr>
          <w:rFonts w:ascii="David" w:cs="David" w:eastAsia="David" w:hAnsi="David"/>
          <w:i w:val="false"/>
          <w:smallCaps w:val="false"/>
          <w:sz w:val="24"/>
          <w:szCs w:val="24"/>
          <w:rtl/>
        </w:rPr>
        <w:t xml:space="preserve">ע"פ 9818/01 </w:t>
      </w:r>
      <w:r>
        <w:rPr>
          <w:rFonts w:ascii="David" w:cs="David" w:eastAsia="David" w:hAnsi="David"/>
          <w:b/>
          <w:bCs/>
          <w:i w:val="false"/>
          <w:smallCaps w:val="false"/>
          <w:sz w:val="24"/>
          <w:szCs w:val="24"/>
          <w:rtl/>
        </w:rPr>
        <w:t xml:space="preserve">ביטון נ' סולטן</w:t>
      </w:r>
      <w:r>
        <w:rPr>
          <w:rFonts w:ascii="David" w:cs="David" w:eastAsia="David" w:hAnsi="David"/>
          <w:i w:val="false"/>
          <w:smallCaps w:val="false"/>
          <w:sz w:val="24"/>
          <w:szCs w:val="24"/>
          <w:rtl/>
        </w:rPr>
        <w:t xml:space="preserve">, פ"ד נט(6) 554 (2005).</w:t>
      </w:r>
    </w:p>
    <w:p>
      <w:pPr>
        <w:bidi/>
        <w:spacing w:after="100" w:line="276"/>
        <w:ind w:right="567" w:hanging="567"/>
        <w:jc w:val="both"/>
      </w:pPr>
      <w:r>
        <w:rPr>
          <w:rFonts w:ascii="David" w:cs="David" w:eastAsia="David" w:hAnsi="David"/>
          <w:i w:val="false"/>
          <w:smallCaps w:val="false"/>
          <w:sz w:val="24"/>
          <w:szCs w:val="24"/>
          <w:rtl/>
        </w:rPr>
        <w:t xml:space="preserve">ע"פ (מחוזי י-ם) 8612/04 </w:t>
      </w:r>
      <w:r>
        <w:rPr>
          <w:rFonts w:ascii="David" w:cs="David" w:eastAsia="David" w:hAnsi="David"/>
          <w:b/>
          <w:bCs/>
          <w:i w:val="false"/>
          <w:smallCaps w:val="false"/>
          <w:sz w:val="24"/>
          <w:szCs w:val="24"/>
          <w:rtl/>
        </w:rPr>
        <w:t xml:space="preserve">העברי נ' מדינת ישראל</w:t>
      </w:r>
      <w:r>
        <w:rPr>
          <w:rFonts w:ascii="David" w:cs="David" w:eastAsia="David" w:hAnsi="David"/>
          <w:i w:val="false"/>
          <w:smallCaps w:val="false"/>
          <w:sz w:val="24"/>
          <w:szCs w:val="24"/>
          <w:rtl/>
        </w:rPr>
        <w:t xml:space="preserve"> (נבו 4.5.2005).</w:t>
      </w:r>
    </w:p>
    <w:p>
      <w:pPr>
        <w:bidi/>
        <w:spacing w:after="100" w:line="276"/>
        <w:ind w:right="567" w:hanging="567"/>
        <w:jc w:val="both"/>
      </w:pPr>
      <w:r>
        <w:rPr>
          <w:rFonts w:ascii="David" w:cs="David" w:eastAsia="David" w:hAnsi="David"/>
          <w:i w:val="false"/>
          <w:smallCaps w:val="false"/>
          <w:sz w:val="24"/>
          <w:szCs w:val="24"/>
          <w:rtl/>
        </w:rPr>
        <w:t xml:space="preserve">רע"פ 7669/15 </w:t>
      </w:r>
      <w:r>
        <w:rPr>
          <w:rFonts w:ascii="David" w:cs="David" w:eastAsia="David" w:hAnsi="David"/>
          <w:b/>
          <w:bCs/>
          <w:i w:val="false"/>
          <w:smallCaps w:val="false"/>
          <w:sz w:val="24"/>
          <w:szCs w:val="24"/>
          <w:rtl/>
        </w:rPr>
        <w:t xml:space="preserve">מחאג'נה נ' מדינת ישראל</w:t>
      </w:r>
      <w:r>
        <w:rPr>
          <w:rFonts w:ascii="David" w:cs="David" w:eastAsia="David" w:hAnsi="David"/>
          <w:i w:val="false"/>
          <w:smallCaps w:val="false"/>
          <w:sz w:val="24"/>
          <w:szCs w:val="24"/>
          <w:rtl/>
        </w:rPr>
        <w:t xml:space="preserve"> (נבו 18.4.2016).</w:t>
      </w:r>
    </w:p>
    <w:p>
      <w:pPr>
        <w:bidi/>
        <w:spacing w:after="100" w:line="276"/>
        <w:ind w:right="567" w:hanging="567"/>
        <w:jc w:val="both"/>
      </w:pPr>
      <w:r>
        <w:rPr>
          <w:rFonts w:ascii="David" w:cs="David" w:eastAsia="David" w:hAnsi="David"/>
          <w:i w:val="false"/>
          <w:smallCaps w:val="false"/>
          <w:sz w:val="24"/>
          <w:szCs w:val="24"/>
          <w:rtl/>
        </w:rPr>
        <w:t xml:space="preserve">ת"פ (מחוזי י-ם) 251/94 </w:t>
      </w:r>
      <w:r>
        <w:rPr>
          <w:rFonts w:ascii="David" w:cs="David" w:eastAsia="David" w:hAnsi="David"/>
          <w:b/>
          <w:bCs/>
          <w:i w:val="false"/>
          <w:smallCaps w:val="false"/>
          <w:sz w:val="24"/>
          <w:szCs w:val="24"/>
          <w:rtl/>
        </w:rPr>
        <w:t xml:space="preserve">מדינת ישראל נ' אלבה</w:t>
      </w:r>
      <w:r>
        <w:rPr>
          <w:rFonts w:ascii="David" w:cs="David" w:eastAsia="David" w:hAnsi="David"/>
          <w:i w:val="false"/>
          <w:smallCaps w:val="false"/>
          <w:sz w:val="24"/>
          <w:szCs w:val="24"/>
          <w:rtl/>
        </w:rPr>
        <w:t xml:space="preserve"> (נבו 12.4.1995).</w:t>
      </w:r>
    </w:p>
    <w:p>
      <w:pPr>
        <w:keepNext/>
        <w:bidi/>
        <w:spacing w:after="100" w:before="200"/>
        <w:jc w:val="right"/>
      </w:pPr>
      <w:r>
        <w:rPr>
          <w:rFonts w:ascii="David" w:cs="David" w:eastAsia="David" w:hAnsi="David"/>
          <w:b/>
          <w:bCs/>
          <w:i w:val="false"/>
          <w:smallCaps w:val="false"/>
          <w:sz w:val="24"/>
          <w:szCs w:val="24"/>
          <w:rtl/>
        </w:rPr>
        <w:t xml:space="preserve">ספרים ומאמרים</w:t>
      </w:r>
    </w:p>
    <w:p>
      <w:pPr>
        <w:bidi/>
        <w:spacing w:after="100" w:line="276"/>
        <w:ind w:right="567" w:hanging="567"/>
        <w:jc w:val="both"/>
      </w:pPr>
      <w:r>
        <w:rPr>
          <w:rFonts w:ascii="David" w:cs="David" w:eastAsia="David" w:hAnsi="David"/>
          <w:i w:val="false"/>
          <w:smallCaps w:val="false"/>
          <w:sz w:val="24"/>
          <w:szCs w:val="24"/>
          <w:rtl/>
        </w:rPr>
        <w:t xml:space="preserve">דוד א' פרנקל וצבי פרנקל </w:t>
      </w:r>
      <w:r>
        <w:rPr>
          <w:rFonts w:ascii="David" w:cs="David" w:eastAsia="David" w:hAnsi="David"/>
          <w:b/>
          <w:bCs/>
          <w:i w:val="false"/>
          <w:smallCaps w:val="false"/>
          <w:sz w:val="24"/>
          <w:szCs w:val="24"/>
          <w:rtl/>
        </w:rPr>
        <w:t xml:space="preserve">דיני עמותות בישראל</w:t>
      </w:r>
      <w:r>
        <w:rPr>
          <w:rFonts w:ascii="David" w:cs="David" w:eastAsia="David" w:hAnsi="David"/>
          <w:i w:val="false"/>
          <w:smallCaps w:val="false"/>
          <w:sz w:val="24"/>
          <w:szCs w:val="24"/>
          <w:rtl/>
        </w:rPr>
        <w:t xml:space="preserve"> (2025).</w:t>
      </w:r>
    </w:p>
    <w:p>
      <w:pPr>
        <w:bidi/>
        <w:spacing w:after="100" w:line="276"/>
        <w:ind w:right="567" w:hanging="567"/>
        <w:jc w:val="both"/>
      </w:pPr>
      <w:r>
        <w:rPr>
          <w:rFonts w:ascii="David" w:cs="David" w:eastAsia="David" w:hAnsi="David"/>
          <w:i w:val="false"/>
          <w:smallCaps w:val="false"/>
          <w:sz w:val="24"/>
          <w:szCs w:val="24"/>
          <w:rtl/>
        </w:rPr>
        <w:t xml:space="preserve">מרים גור-אריה "זכויות אדם והמשפט הפלילי המהותי" </w:t>
      </w:r>
      <w:r>
        <w:rPr>
          <w:rFonts w:ascii="David" w:cs="David" w:eastAsia="David" w:hAnsi="David"/>
          <w:b/>
          <w:bCs/>
          <w:i w:val="false"/>
          <w:smallCaps w:val="false"/>
          <w:sz w:val="24"/>
          <w:szCs w:val="24"/>
          <w:rtl/>
        </w:rPr>
        <w:t xml:space="preserve">משפטים</w:t>
      </w:r>
      <w:r>
        <w:rPr>
          <w:rFonts w:ascii="David" w:cs="David" w:eastAsia="David" w:hAnsi="David"/>
          <w:i w:val="false"/>
          <w:smallCaps w:val="false"/>
          <w:sz w:val="24"/>
          <w:szCs w:val="24"/>
          <w:rtl/>
        </w:rPr>
        <w:t xml:space="preserve"> נ 759 (2021).</w:t>
      </w:r>
    </w:p>
    <w:p>
      <w:pPr>
        <w:bidi/>
        <w:spacing w:after="100" w:line="276"/>
        <w:ind w:right="567" w:hanging="567"/>
        <w:jc w:val="both"/>
      </w:pPr>
      <w:r>
        <w:rPr>
          <w:rFonts w:ascii="David" w:cs="David" w:eastAsia="David" w:hAnsi="David"/>
          <w:i w:val="false"/>
          <w:smallCaps w:val="false"/>
          <w:sz w:val="24"/>
          <w:szCs w:val="24"/>
          <w:rtl/>
        </w:rPr>
        <w:t xml:space="preserve">אלון הראל "עבירות המגבילות את חופש הביטוי ומבחן 'אפשרות ממשית של נזק': חשיבה מחודשת" </w:t>
      </w:r>
      <w:r>
        <w:rPr>
          <w:rFonts w:ascii="David" w:cs="David" w:eastAsia="David" w:hAnsi="David"/>
          <w:b/>
          <w:bCs/>
          <w:i w:val="false"/>
          <w:smallCaps w:val="false"/>
          <w:sz w:val="24"/>
          <w:szCs w:val="24"/>
          <w:rtl/>
        </w:rPr>
        <w:t xml:space="preserve">משפטים</w:t>
      </w:r>
      <w:r>
        <w:rPr>
          <w:rFonts w:ascii="David" w:cs="David" w:eastAsia="David" w:hAnsi="David"/>
          <w:i w:val="false"/>
          <w:smallCaps w:val="false"/>
          <w:sz w:val="24"/>
          <w:szCs w:val="24"/>
          <w:rtl/>
        </w:rPr>
        <w:t xml:space="preserve"> ל 69 (1999).</w:t>
      </w:r>
    </w:p>
    <w:p>
      <w:pPr>
        <w:bidi/>
        <w:spacing w:after="100" w:line="276"/>
        <w:ind w:right="567" w:hanging="567"/>
        <w:jc w:val="both"/>
      </w:pPr>
      <w:r>
        <w:rPr>
          <w:rFonts w:ascii="David" w:cs="David" w:eastAsia="David" w:hAnsi="David"/>
          <w:i w:val="false"/>
          <w:smallCaps w:val="false"/>
          <w:sz w:val="24"/>
          <w:szCs w:val="24"/>
          <w:rtl/>
        </w:rPr>
        <w:t xml:space="preserve">דנה מרשק-מרום "התפתחותה של הסתה" </w:t>
      </w:r>
      <w:r>
        <w:rPr>
          <w:rFonts w:ascii="David" w:cs="David" w:eastAsia="David" w:hAnsi="David"/>
          <w:b/>
          <w:bCs/>
          <w:i w:val="false"/>
          <w:smallCaps w:val="false"/>
          <w:sz w:val="24"/>
          <w:szCs w:val="24"/>
          <w:rtl/>
        </w:rPr>
        <w:t xml:space="preserve">75 שנות עצמאות במשפט</w:t>
      </w:r>
      <w:r>
        <w:rPr>
          <w:rFonts w:ascii="David" w:cs="David" w:eastAsia="David" w:hAnsi="David"/>
          <w:i w:val="false"/>
          <w:smallCaps w:val="false"/>
          <w:sz w:val="24"/>
          <w:szCs w:val="24"/>
          <w:rtl/>
        </w:rPr>
        <w:t xml:space="preserve"> 570 (</w:t>
      </w:r>
      <w:r>
        <w:rPr>
          <w:rFonts w:ascii="David" w:cs="David" w:eastAsia="David" w:hAnsi="David"/>
          <w:i w:val="false"/>
          <w:smallCaps w:val="false"/>
          <w:sz w:val="24"/>
          <w:szCs w:val="24"/>
          <w:highlight w:val="yellow"/>
          <w:rtl/>
        </w:rPr>
        <w:t xml:space="preserve">שמות העורכים</w:t>
      </w:r>
      <w:r>
        <w:rPr>
          <w:rFonts w:ascii="David" w:cs="David" w:eastAsia="David" w:hAnsi="David"/>
          <w:i w:val="false"/>
          <w:smallCaps w:val="false"/>
          <w:sz w:val="24"/>
          <w:szCs w:val="24"/>
          <w:rtl/>
        </w:rPr>
        <w:t xml:space="preserve"> עורכים 2023).</w:t>
      </w:r>
    </w:p>
    <w:p>
      <w:pPr>
        <w:bidi/>
        <w:spacing w:after="100" w:line="276"/>
        <w:ind w:right="567" w:hanging="567"/>
        <w:jc w:val="both"/>
      </w:pPr>
      <w:r>
        <w:rPr>
          <w:rFonts w:ascii="David" w:cs="David" w:eastAsia="David" w:hAnsi="David"/>
          <w:i w:val="false"/>
          <w:smallCaps w:val="false"/>
          <w:sz w:val="24"/>
          <w:szCs w:val="24"/>
          <w:rtl/>
        </w:rPr>
        <w:t xml:space="preserve">רובי סיבל "המאבק באנטישמיות והמשפט הבין-לאומי" </w:t>
      </w:r>
      <w:r>
        <w:rPr>
          <w:rFonts w:ascii="David" w:cs="David" w:eastAsia="David" w:hAnsi="David"/>
          <w:b/>
          <w:bCs/>
          <w:i w:val="false"/>
          <w:smallCaps w:val="false"/>
          <w:sz w:val="24"/>
          <w:szCs w:val="24"/>
          <w:rtl/>
        </w:rPr>
        <w:t xml:space="preserve">משפט ועסקים</w:t>
      </w:r>
      <w:r>
        <w:rPr>
          <w:rFonts w:ascii="David" w:cs="David" w:eastAsia="David" w:hAnsi="David"/>
          <w:i w:val="false"/>
          <w:smallCaps w:val="false"/>
          <w:sz w:val="24"/>
          <w:szCs w:val="24"/>
          <w:rtl/>
        </w:rPr>
        <w:t xml:space="preserve"> כה 43 (2022).</w:t>
      </w:r>
    </w:p>
    <w:p>
      <w:pPr>
        <w:bidi/>
        <w:spacing w:after="100" w:line="276"/>
        <w:ind w:right="567" w:hanging="567"/>
        <w:jc w:val="both"/>
      </w:pPr>
      <w:r>
        <w:rPr>
          <w:rFonts w:ascii="David" w:cs="David" w:eastAsia="David" w:hAnsi="David"/>
          <w:i w:val="false"/>
          <w:smallCaps w:val="false"/>
          <w:sz w:val="24"/>
          <w:szCs w:val="24"/>
          <w:rtl/>
        </w:rPr>
        <w:t xml:space="preserve">גיל עשת "הלכת הצפיות: יסודות של ודאות מול שיקול-דעת שיפוטי על רקע תיקון 39 לחוק העונשין" </w:t>
      </w:r>
      <w:r>
        <w:rPr>
          <w:rFonts w:ascii="David" w:cs="David" w:eastAsia="David" w:hAnsi="David"/>
          <w:b/>
          <w:bCs/>
          <w:i w:val="false"/>
          <w:smallCaps w:val="false"/>
          <w:sz w:val="24"/>
          <w:szCs w:val="24"/>
          <w:rtl/>
        </w:rPr>
        <w:t xml:space="preserve">עלי משפט</w:t>
      </w:r>
      <w:r>
        <w:rPr>
          <w:rFonts w:ascii="David" w:cs="David" w:eastAsia="David" w:hAnsi="David"/>
          <w:i w:val="false"/>
          <w:smallCaps w:val="false"/>
          <w:sz w:val="24"/>
          <w:szCs w:val="24"/>
          <w:rtl/>
        </w:rPr>
        <w:t xml:space="preserve"> ג 617 (2003).</w:t>
      </w:r>
    </w:p>
    <w:p>
      <w:pPr>
        <w:bidi/>
        <w:spacing w:after="100" w:line="276"/>
        <w:ind w:right="567" w:hanging="567"/>
        <w:jc w:val="both"/>
      </w:pPr>
      <w:r>
        <w:rPr>
          <w:rFonts w:ascii="David" w:cs="David" w:eastAsia="David" w:hAnsi="David"/>
          <w:i w:val="false"/>
          <w:smallCaps w:val="false"/>
          <w:sz w:val="24"/>
          <w:szCs w:val="24"/>
          <w:rtl/>
        </w:rPr>
        <w:t xml:space="preserve">רות קנאי ורוני רוזנברג "הלכת הצפיות ועבירת הניסיון: הילכו שתיהן יחדיו?" </w:t>
      </w:r>
      <w:r>
        <w:rPr>
          <w:rFonts w:ascii="David" w:cs="David" w:eastAsia="David" w:hAnsi="David"/>
          <w:b/>
          <w:bCs/>
          <w:i w:val="false"/>
          <w:smallCaps w:val="false"/>
          <w:sz w:val="24"/>
          <w:szCs w:val="24"/>
          <w:rtl/>
        </w:rPr>
        <w:t xml:space="preserve">ספר יעקב וינרוט</w:t>
      </w:r>
      <w:r>
        <w:rPr>
          <w:rFonts w:ascii="David" w:cs="David" w:eastAsia="David" w:hAnsi="David"/>
          <w:i w:val="false"/>
          <w:smallCaps w:val="false"/>
          <w:sz w:val="24"/>
          <w:szCs w:val="24"/>
          <w:rtl/>
        </w:rPr>
        <w:t xml:space="preserve"> 475 (</w:t>
      </w:r>
      <w:r>
        <w:rPr>
          <w:rFonts w:ascii="David" w:cs="David" w:eastAsia="David" w:hAnsi="David"/>
          <w:i w:val="false"/>
          <w:smallCaps w:val="false"/>
          <w:sz w:val="24"/>
          <w:szCs w:val="24"/>
          <w:highlight w:val="yellow"/>
          <w:rtl/>
        </w:rPr>
        <w:t xml:space="preserve">שמות העורכים</w:t>
      </w:r>
      <w:r>
        <w:rPr>
          <w:rFonts w:ascii="David" w:cs="David" w:eastAsia="David" w:hAnsi="David"/>
          <w:i w:val="false"/>
          <w:smallCaps w:val="false"/>
          <w:sz w:val="24"/>
          <w:szCs w:val="24"/>
          <w:rtl/>
        </w:rPr>
        <w:t xml:space="preserve"> עורכים 2021).</w:t>
      </w:r>
    </w:p>
    <w:p>
      <w:pPr>
        <w:bidi/>
        <w:spacing w:after="100" w:line="276"/>
        <w:ind w:right="567" w:hanging="567"/>
        <w:jc w:val="both"/>
      </w:pPr>
      <w:r>
        <w:rPr>
          <w:rFonts w:ascii="David" w:cs="David" w:eastAsia="David" w:hAnsi="David"/>
          <w:i w:val="false"/>
          <w:smallCaps w:val="false"/>
          <w:sz w:val="24"/>
          <w:szCs w:val="24"/>
          <w:rtl/>
        </w:rPr>
        <w:t xml:space="preserve">מרדכי קרמניצר "פרשת אלבה: בירור הלכות הסתה לגזענות" </w:t>
      </w:r>
      <w:r>
        <w:rPr>
          <w:rFonts w:ascii="David" w:cs="David" w:eastAsia="David" w:hAnsi="David"/>
          <w:b/>
          <w:bCs/>
          <w:i w:val="false"/>
          <w:smallCaps w:val="false"/>
          <w:sz w:val="24"/>
          <w:szCs w:val="24"/>
          <w:rtl/>
        </w:rPr>
        <w:t xml:space="preserve">משפטים</w:t>
      </w:r>
      <w:r>
        <w:rPr>
          <w:rFonts w:ascii="David" w:cs="David" w:eastAsia="David" w:hAnsi="David"/>
          <w:i w:val="false"/>
          <w:smallCaps w:val="false"/>
          <w:sz w:val="24"/>
          <w:szCs w:val="24"/>
          <w:rtl/>
        </w:rPr>
        <w:t xml:space="preserve"> ל 105 (1999).</w:t>
      </w:r>
    </w:p>
    <w:p>
      <w:pPr>
        <w:bidi/>
        <w:spacing w:after="100" w:line="276"/>
        <w:ind w:right="567" w:hanging="567"/>
        <w:jc w:val="both"/>
      </w:pPr>
      <w:r>
        <w:rPr>
          <w:rFonts w:ascii="David" w:cs="David" w:eastAsia="David" w:hAnsi="David"/>
          <w:i w:val="false"/>
          <w:smallCaps w:val="false"/>
          <w:sz w:val="24"/>
          <w:szCs w:val="24"/>
          <w:rtl/>
        </w:rPr>
        <w:t xml:space="preserve">מרדכי קרמניצר וליאת לבנון-מורג "הגבלת חופש הביטוי בשל חשש לאלימות – על ערכים מוגנים ומבחני הסתברות בעבירות של הסתה להמרדה והסתה לאלימות, בעקבות פרשת כהנא" </w:t>
      </w:r>
      <w:r>
        <w:rPr>
          <w:rFonts w:ascii="David" w:cs="David" w:eastAsia="David" w:hAnsi="David"/>
          <w:b/>
          <w:bCs/>
          <w:i w:val="false"/>
          <w:smallCaps w:val="false"/>
          <w:sz w:val="24"/>
          <w:szCs w:val="24"/>
          <w:rtl/>
        </w:rPr>
        <w:t xml:space="preserve">משפט וממשל</w:t>
      </w:r>
      <w:r>
        <w:rPr>
          <w:rFonts w:ascii="David" w:cs="David" w:eastAsia="David" w:hAnsi="David"/>
          <w:i w:val="false"/>
          <w:smallCaps w:val="false"/>
          <w:sz w:val="24"/>
          <w:szCs w:val="24"/>
          <w:rtl/>
        </w:rPr>
        <w:t xml:space="preserve"> ז 305 (2004).</w:t>
      </w:r>
    </w:p>
    <w:p>
      <w:pPr>
        <w:bidi/>
        <w:spacing w:after="100" w:line="276"/>
        <w:ind w:right="567" w:hanging="567"/>
        <w:jc w:val="both"/>
      </w:pPr>
      <w:r>
        <w:rPr>
          <w:rFonts w:ascii="David" w:cs="David" w:eastAsia="David" w:hAnsi="David"/>
          <w:i w:val="false"/>
          <w:smallCaps w:val="false"/>
          <w:sz w:val="24"/>
          <w:szCs w:val="24"/>
          <w:rtl/>
        </w:rPr>
        <w:t xml:space="preserve">יורם רבין ויניב ואקי </w:t>
      </w:r>
      <w:r>
        <w:rPr>
          <w:rFonts w:ascii="David" w:cs="David" w:eastAsia="David" w:hAnsi="David"/>
          <w:b/>
          <w:bCs/>
          <w:i w:val="false"/>
          <w:smallCaps w:val="false"/>
          <w:sz w:val="24"/>
          <w:szCs w:val="24"/>
          <w:rtl/>
        </w:rPr>
        <w:t xml:space="preserve">דיני עונשין</w:t>
      </w:r>
      <w:r>
        <w:rPr>
          <w:rFonts w:ascii="David" w:cs="David" w:eastAsia="David" w:hAnsi="David"/>
          <w:i w:val="false"/>
          <w:smallCaps w:val="false"/>
          <w:sz w:val="24"/>
          <w:szCs w:val="24"/>
          <w:rtl/>
        </w:rPr>
        <w:t xml:space="preserve"> א (מהדורה שלישית 2014).</w:t>
      </w:r>
    </w:p>
    <w:p>
      <w:pPr>
        <w:bidi/>
        <w:spacing w:after="100" w:line="276"/>
        <w:ind w:right="567" w:hanging="567"/>
        <w:jc w:val="both"/>
      </w:pPr>
      <w:r>
        <w:rPr>
          <w:rFonts w:ascii="David" w:cs="David" w:eastAsia="David" w:hAnsi="David"/>
          <w:i w:val="false"/>
          <w:smallCaps w:val="false"/>
          <w:sz w:val="24"/>
          <w:szCs w:val="24"/>
          <w:rtl/>
        </w:rPr>
        <w:t xml:space="preserve">אליקים רובינשטיין "על חופש הביטוי ועל מדיניות התביעה בעבירות של הסתה לאלימות" </w:t>
      </w:r>
      <w:r>
        <w:rPr>
          <w:rFonts w:ascii="David" w:cs="David" w:eastAsia="David" w:hAnsi="David"/>
          <w:b/>
          <w:bCs/>
          <w:i w:val="false"/>
          <w:smallCaps w:val="false"/>
          <w:sz w:val="24"/>
          <w:szCs w:val="24"/>
          <w:rtl/>
        </w:rPr>
        <w:t xml:space="preserve">הפרקליט</w:t>
      </w:r>
      <w:r>
        <w:rPr>
          <w:rFonts w:ascii="David" w:cs="David" w:eastAsia="David" w:hAnsi="David"/>
          <w:i w:val="false"/>
          <w:smallCaps w:val="false"/>
          <w:sz w:val="24"/>
          <w:szCs w:val="24"/>
          <w:rtl/>
        </w:rPr>
        <w:t xml:space="preserve"> מד 5 (1998).</w:t>
      </w:r>
    </w:p>
    <w:p>
      <w:pPr>
        <w:keepNext/>
        <w:bidi/>
        <w:spacing w:after="100" w:before="200"/>
        <w:jc w:val="right"/>
      </w:pPr>
      <w:r>
        <w:rPr>
          <w:rFonts w:ascii="David" w:cs="David" w:eastAsia="David" w:hAnsi="David"/>
          <w:b/>
          <w:bCs/>
          <w:i w:val="false"/>
          <w:smallCaps w:val="false"/>
          <w:sz w:val="24"/>
          <w:szCs w:val="24"/>
          <w:rtl/>
        </w:rPr>
        <w:t xml:space="preserve">מקורות זרים</w:t>
      </w:r>
    </w:p>
    <w:p>
      <w:pPr>
        <w:bidi w:val="false"/>
        <w:spacing w:after="100" w:line="276"/>
        <w:ind w:left="567" w:hanging="567"/>
        <w:jc w:val="left"/>
      </w:pPr>
      <w:r>
        <w:rPr>
          <w:rFonts w:ascii="David" w:cs="David" w:eastAsia="David" w:hAnsi="David"/>
          <w:i w:val="false"/>
          <w:smallCaps/>
          <w:sz w:val="24"/>
          <w:szCs w:val="24"/>
          <w:rtl w:val="false"/>
        </w:rPr>
        <w:t xml:space="preserve">Jeremy Waldron, The Harm in Hate Speech</w:t>
      </w:r>
      <w:r>
        <w:rPr>
          <w:rFonts w:ascii="David" w:cs="David" w:eastAsia="David" w:hAnsi="David"/>
          <w:i w:val="false"/>
          <w:smallCaps w:val="false"/>
          <w:sz w:val="24"/>
          <w:szCs w:val="24"/>
          <w:rtl/>
        </w:rPr>
        <w:t xml:space="preserve"> (2012).</w:t>
      </w:r>
    </w:p>
    <w:p>
      <w:pPr>
        <w:bidi w:val="false"/>
        <w:spacing w:after="100" w:line="276"/>
        <w:ind w:left="567" w:hanging="567"/>
        <w:jc w:val="left"/>
      </w:pPr>
      <w:r>
        <w:rPr>
          <w:rFonts w:ascii="David" w:cs="David" w:eastAsia="David" w:hAnsi="David"/>
          <w:i/>
          <w:iCs/>
          <w:smallCaps w:val="false"/>
          <w:sz w:val="24"/>
          <w:szCs w:val="24"/>
          <w:rtl w:val="false"/>
        </w:rPr>
        <w:t xml:space="preserve">Brandenburg v. Ohio</w:t>
      </w:r>
      <w:r>
        <w:rPr>
          <w:rFonts w:ascii="David" w:cs="David" w:eastAsia="David" w:hAnsi="David"/>
          <w:i w:val="false"/>
          <w:smallCaps w:val="false"/>
          <w:sz w:val="24"/>
          <w:szCs w:val="24"/>
          <w:rtl w:val="false"/>
        </w:rPr>
        <w:t xml:space="preserve">, 395 U.S. 444 (1969).</w:t>
      </w:r>
    </w:p>
    <w:p>
      <w:pPr>
        <w:bidi w:val="false"/>
        <w:spacing w:after="100" w:line="276"/>
        <w:ind w:left="567" w:hanging="567"/>
        <w:jc w:val="left"/>
      </w:pPr>
      <w:r>
        <w:rPr>
          <w:rFonts w:ascii="David" w:cs="David" w:eastAsia="David" w:hAnsi="David"/>
          <w:i/>
          <w:iCs/>
          <w:smallCaps w:val="false"/>
          <w:sz w:val="24"/>
          <w:szCs w:val="24"/>
          <w:rtl w:val="false"/>
        </w:rPr>
        <w:t xml:space="preserve">Erbakan v. Turkey</w:t>
      </w:r>
      <w:r>
        <w:rPr>
          <w:rFonts w:ascii="David" w:cs="David" w:eastAsia="David" w:hAnsi="David"/>
          <w:i w:val="false"/>
          <w:smallCaps w:val="false"/>
          <w:sz w:val="24"/>
          <w:szCs w:val="24"/>
          <w:rtl w:val="false"/>
        </w:rPr>
        <w:t xml:space="preserve">, App. No. 59405/00 (Eur. Ct. H.R. 2006).</w:t>
      </w:r>
    </w:p>
    <w:p>
      <w:pPr>
        <w:bidi w:val="false"/>
        <w:spacing w:after="100" w:line="276"/>
        <w:ind w:left="567" w:hanging="567"/>
        <w:jc w:val="left"/>
      </w:pPr>
      <w:r>
        <w:rPr>
          <w:rFonts w:ascii="David" w:cs="David" w:eastAsia="David" w:hAnsi="David"/>
          <w:i/>
          <w:iCs/>
          <w:smallCaps w:val="false"/>
          <w:sz w:val="24"/>
          <w:szCs w:val="24"/>
          <w:rtl w:val="false"/>
        </w:rPr>
        <w:t xml:space="preserve">Perinçek v. Switzerland</w:t>
      </w:r>
      <w:r>
        <w:rPr>
          <w:rFonts w:ascii="David" w:cs="David" w:eastAsia="David" w:hAnsi="David"/>
          <w:i w:val="false"/>
          <w:smallCaps w:val="false"/>
          <w:sz w:val="24"/>
          <w:szCs w:val="24"/>
          <w:rtl w:val="false"/>
        </w:rPr>
        <w:t xml:space="preserve">, 2015-VI Eur. Ct. H.R. 181.</w:t>
      </w:r>
    </w:p>
    <w:p>
      <w:pPr>
        <w:bidi w:val="false"/>
        <w:spacing w:after="100" w:line="276"/>
        <w:ind w:left="567" w:hanging="567"/>
        <w:jc w:val="left"/>
      </w:pPr>
      <w:r>
        <w:rPr>
          <w:rFonts w:ascii="David" w:cs="David" w:eastAsia="David" w:hAnsi="David"/>
          <w:i/>
          <w:iCs/>
          <w:smallCaps w:val="false"/>
          <w:sz w:val="24"/>
          <w:szCs w:val="24"/>
          <w:rtl w:val="false"/>
        </w:rPr>
        <w:t xml:space="preserve">R. v. Keegstra</w:t>
      </w:r>
      <w:r>
        <w:rPr>
          <w:rFonts w:ascii="David" w:cs="David" w:eastAsia="David" w:hAnsi="David"/>
          <w:i w:val="false"/>
          <w:smallCaps w:val="false"/>
          <w:sz w:val="24"/>
          <w:szCs w:val="24"/>
          <w:rtl w:val="false"/>
        </w:rPr>
        <w:t xml:space="preserve">, [1990] 3 S.C.R. 697.</w:t>
      </w:r>
    </w:p>
    <w:sectPr>
      <w:footerReference w:type="default" r:id="rId8"/>
      <w:pgSz w:w="11906" w:h="16838" w:orient="portrait"/>
      <w:pgMar w:top="1440" w:right="1440" w:bottom="1440" w:left="1440" w:header="708" w:footer="708"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bidi/>
        <w:spacing w:after="40" w:line="240"/>
        <w:jc w:val="both"/>
      </w:pPr>
      <w:r>
        <w:rPr>
          <w:rStyle w:val="FootnoteReference"/>
        </w:rPr>
        <w:footnoteRef/>
      </w:r>
      <w:r>
        <w:rPr>
          <w:rFonts w:ascii="David" w:cs="David" w:eastAsia="David" w:hAnsi="David"/>
          <w:i w:val="false"/>
          <w:smallCaps w:val="false"/>
          <w:sz w:val="20"/>
          <w:szCs w:val="20"/>
          <w:rtl/>
        </w:rPr>
        <w:t xml:space="preserve"> ס' 144ב(א) לחוק העונשין, התשל"ז–1977 (להלן: חוק העונשין או החוק).</w:t>
      </w:r>
    </w:p>
  </w:footnote>
  <w:footnote w:id="2">
    <w:p>
      <w:pPr>
        <w:bidi/>
        <w:spacing w:after="40" w:line="240"/>
        <w:jc w:val="both"/>
      </w:pPr>
      <w:r>
        <w:rPr>
          <w:rStyle w:val="FootnoteReference"/>
        </w:rPr>
        <w:footnoteRef/>
      </w:r>
      <w:r>
        <w:rPr>
          <w:rFonts w:ascii="David" w:cs="David" w:eastAsia="David" w:hAnsi="David"/>
          <w:i w:val="false"/>
          <w:smallCaps w:val="false"/>
          <w:sz w:val="20"/>
          <w:szCs w:val="20"/>
          <w:rtl/>
        </w:rPr>
        <w:t xml:space="preserve"> חוק העונשין (תיקון מס' 20), התשמ"ו–1986.</w:t>
      </w:r>
    </w:p>
  </w:footnote>
  <w:footnote w:id="3">
    <w:p>
      <w:pPr>
        <w:bidi/>
        <w:spacing w:after="40" w:line="240"/>
        <w:jc w:val="both"/>
      </w:pPr>
      <w:r>
        <w:rPr>
          <w:rStyle w:val="FootnoteReference"/>
        </w:rPr>
        <w:footnoteRef/>
      </w:r>
      <w:r>
        <w:rPr>
          <w:rFonts w:ascii="David" w:cs="David" w:eastAsia="David" w:hAnsi="David"/>
          <w:i w:val="false"/>
          <w:smallCaps w:val="false"/>
          <w:sz w:val="20"/>
          <w:szCs w:val="20"/>
          <w:rtl/>
        </w:rPr>
        <w:t xml:space="preserve"> ס' 7א לחוק-יסוד: הכנסת. לרקע ראו בג"ץ 399/85 </w:t>
      </w:r>
      <w:r>
        <w:rPr>
          <w:rFonts w:ascii="David" w:cs="David" w:eastAsia="David" w:hAnsi="David"/>
          <w:b/>
          <w:bCs/>
          <w:i w:val="false"/>
          <w:smallCaps w:val="false"/>
          <w:sz w:val="20"/>
          <w:szCs w:val="20"/>
          <w:rtl/>
        </w:rPr>
        <w:t xml:space="preserve">כהנא נ' הוועד המנהל של רשות השידור</w:t>
      </w:r>
      <w:r>
        <w:rPr>
          <w:rFonts w:ascii="David" w:cs="David" w:eastAsia="David" w:hAnsi="David"/>
          <w:i w:val="false"/>
          <w:smallCaps w:val="false"/>
          <w:sz w:val="20"/>
          <w:szCs w:val="20"/>
          <w:rtl/>
        </w:rPr>
        <w:t xml:space="preserve">, פ"ד מא(3) 255 (1987).</w:t>
      </w:r>
    </w:p>
  </w:footnote>
  <w:footnote w:id="4">
    <w:p>
      <w:pPr>
        <w:bidi/>
        <w:spacing w:after="40" w:line="240"/>
        <w:jc w:val="both"/>
      </w:pPr>
      <w:r>
        <w:rPr>
          <w:rStyle w:val="FootnoteReference"/>
        </w:rPr>
        <w:footnoteRef/>
      </w:r>
      <w:r>
        <w:rPr>
          <w:rFonts w:ascii="David" w:cs="David" w:eastAsia="David" w:hAnsi="David"/>
          <w:i w:val="false"/>
          <w:smallCaps w:val="false"/>
          <w:sz w:val="20"/>
          <w:szCs w:val="20"/>
          <w:rtl/>
        </w:rPr>
        <w:t xml:space="preserve"> ס' 4(א) לאמנה הבין-לאומית בדבר ביעורן של כל הצורות של אפליה גזעית, כ"א 25, 547 (נפתחה לחתימה ב-1966).</w:t>
      </w:r>
    </w:p>
  </w:footnote>
  <w:footnote w:id="5">
    <w:p>
      <w:pPr>
        <w:bidi/>
        <w:spacing w:after="40" w:line="240"/>
        <w:jc w:val="both"/>
      </w:pPr>
      <w:r>
        <w:rPr>
          <w:rStyle w:val="FootnoteReference"/>
        </w:rPr>
        <w:footnoteRef/>
      </w:r>
      <w:r>
        <w:rPr>
          <w:rFonts w:ascii="David" w:cs="David" w:eastAsia="David" w:hAnsi="David"/>
          <w:i w:val="false"/>
          <w:smallCaps w:val="false"/>
          <w:sz w:val="20"/>
          <w:szCs w:val="20"/>
          <w:rtl/>
        </w:rPr>
        <w:t xml:space="preserve"> דנה מרשק-מרום "התפתחותה של הסתה" </w:t>
      </w:r>
      <w:r>
        <w:rPr>
          <w:rFonts w:ascii="David" w:cs="David" w:eastAsia="David" w:hAnsi="David"/>
          <w:b/>
          <w:bCs/>
          <w:i w:val="false"/>
          <w:smallCaps w:val="false"/>
          <w:sz w:val="20"/>
          <w:szCs w:val="20"/>
          <w:rtl/>
        </w:rPr>
        <w:t xml:space="preserve">75 שנות עצמאות במשפט</w:t>
      </w:r>
      <w:r>
        <w:rPr>
          <w:rFonts w:ascii="David" w:cs="David" w:eastAsia="David" w:hAnsi="David"/>
          <w:i w:val="false"/>
          <w:smallCaps w:val="false"/>
          <w:sz w:val="20"/>
          <w:szCs w:val="20"/>
          <w:rtl/>
        </w:rPr>
        <w:t xml:space="preserve"> 570, 571 (</w:t>
      </w:r>
      <w:r>
        <w:rPr>
          <w:rFonts w:ascii="David" w:cs="David" w:eastAsia="David" w:hAnsi="David"/>
          <w:i w:val="false"/>
          <w:smallCaps w:val="false"/>
          <w:sz w:val="20"/>
          <w:szCs w:val="20"/>
          <w:highlight w:val="yellow"/>
          <w:rtl/>
        </w:rPr>
        <w:t xml:space="preserve">שמות העורכים</w:t>
      </w:r>
      <w:r>
        <w:rPr>
          <w:rFonts w:ascii="David" w:cs="David" w:eastAsia="David" w:hAnsi="David"/>
          <w:i w:val="false"/>
          <w:smallCaps w:val="false"/>
          <w:sz w:val="20"/>
          <w:szCs w:val="20"/>
          <w:rtl/>
        </w:rPr>
        <w:t xml:space="preserve"> עורכים 2023).</w:t>
      </w:r>
    </w:p>
  </w:footnote>
  <w:footnote w:id="6">
    <w:p>
      <w:pPr>
        <w:bidi/>
        <w:spacing w:after="40" w:line="240"/>
        <w:jc w:val="both"/>
      </w:pPr>
      <w:r>
        <w:rPr>
          <w:rStyle w:val="FootnoteReference"/>
        </w:rPr>
        <w:footnoteRef/>
      </w:r>
      <w:r>
        <w:rPr>
          <w:rFonts w:ascii="David" w:cs="David" w:eastAsia="David" w:hAnsi="David"/>
          <w:i w:val="false"/>
          <w:smallCaps w:val="false"/>
          <w:sz w:val="20"/>
          <w:szCs w:val="20"/>
          <w:rtl/>
        </w:rPr>
        <w:t xml:space="preserve"> ע"פ 2831/95 </w:t>
      </w:r>
      <w:r>
        <w:rPr>
          <w:rFonts w:ascii="David" w:cs="David" w:eastAsia="David" w:hAnsi="David"/>
          <w:b/>
          <w:bCs/>
          <w:i w:val="false"/>
          <w:smallCaps w:val="false"/>
          <w:sz w:val="20"/>
          <w:szCs w:val="20"/>
          <w:rtl/>
        </w:rPr>
        <w:t xml:space="preserve">אלבה נ' מדינת ישראל</w:t>
      </w:r>
      <w:r>
        <w:rPr>
          <w:rFonts w:ascii="David" w:cs="David" w:eastAsia="David" w:hAnsi="David"/>
          <w:i w:val="false"/>
          <w:smallCaps w:val="false"/>
          <w:sz w:val="20"/>
          <w:szCs w:val="20"/>
          <w:rtl/>
        </w:rPr>
        <w:t xml:space="preserve">, פ"ד נ(5) 221, 256–257 (1996) (להלן: עניין </w:t>
      </w:r>
      <w:r>
        <w:rPr>
          <w:rFonts w:ascii="David" w:cs="David" w:eastAsia="David" w:hAnsi="David"/>
          <w:b/>
          <w:bCs/>
          <w:i w:val="false"/>
          <w:smallCaps w:val="false"/>
          <w:sz w:val="20"/>
          <w:szCs w:val="20"/>
          <w:rtl/>
        </w:rPr>
        <w:t xml:space="preserve">אלבה</w:t>
      </w:r>
      <w:r>
        <w:rPr>
          <w:rFonts w:ascii="David" w:cs="David" w:eastAsia="David" w:hAnsi="David"/>
          <w:i w:val="false"/>
          <w:smallCaps w:val="false"/>
          <w:sz w:val="20"/>
          <w:szCs w:val="20"/>
          <w:rtl/>
        </w:rPr>
        <w:t xml:space="preserve">).</w:t>
      </w:r>
    </w:p>
  </w:footnote>
  <w:footnote w:id="7">
    <w:p>
      <w:pPr>
        <w:bidi/>
        <w:spacing w:after="40" w:line="240"/>
        <w:jc w:val="both"/>
      </w:pPr>
      <w:r>
        <w:rPr>
          <w:rStyle w:val="FootnoteReference"/>
        </w:rPr>
        <w:footnoteRef/>
      </w:r>
      <w:r>
        <w:rPr>
          <w:rFonts w:ascii="David" w:cs="David" w:eastAsia="David" w:hAnsi="David"/>
          <w:i w:val="false"/>
          <w:smallCaps w:val="false"/>
          <w:sz w:val="20"/>
          <w:szCs w:val="20"/>
          <w:rtl/>
        </w:rPr>
        <w:t xml:space="preserve"> ס' 144א לחוק העונשין.</w:t>
      </w:r>
    </w:p>
  </w:footnote>
  <w:footnote w:id="8">
    <w:p>
      <w:pPr>
        <w:bidi/>
        <w:spacing w:after="40" w:line="240"/>
        <w:jc w:val="both"/>
      </w:pPr>
      <w:r>
        <w:rPr>
          <w:rStyle w:val="FootnoteReference"/>
        </w:rPr>
        <w:footnoteRef/>
      </w:r>
      <w:r>
        <w:rPr>
          <w:rFonts w:ascii="David" w:cs="David" w:eastAsia="David" w:hAnsi="David"/>
          <w:i w:val="false"/>
          <w:smallCaps w:val="false"/>
          <w:sz w:val="20"/>
          <w:szCs w:val="20"/>
          <w:rtl/>
        </w:rPr>
        <w:t xml:space="preserve"> ע"ב 1/88 </w:t>
      </w:r>
      <w:r>
        <w:rPr>
          <w:rFonts w:ascii="David" w:cs="David" w:eastAsia="David" w:hAnsi="David"/>
          <w:b/>
          <w:bCs/>
          <w:i w:val="false"/>
          <w:smallCaps w:val="false"/>
          <w:sz w:val="20"/>
          <w:szCs w:val="20"/>
          <w:rtl/>
        </w:rPr>
        <w:t xml:space="preserve">ניימן נ' יו"ר ועדת הבחירות המרכזית לכנסת השתים-עשרה</w:t>
      </w:r>
      <w:r>
        <w:rPr>
          <w:rFonts w:ascii="David" w:cs="David" w:eastAsia="David" w:hAnsi="David"/>
          <w:i w:val="false"/>
          <w:smallCaps w:val="false"/>
          <w:sz w:val="20"/>
          <w:szCs w:val="20"/>
          <w:rtl/>
        </w:rPr>
        <w:t xml:space="preserve">, פ"ד מב(4) 177, 191–192 (1988).</w:t>
      </w:r>
    </w:p>
  </w:footnote>
  <w:footnote w:id="9">
    <w:p>
      <w:pPr>
        <w:bidi/>
        <w:spacing w:after="40" w:line="240"/>
        <w:jc w:val="both"/>
      </w:pPr>
      <w:r>
        <w:rPr>
          <w:rStyle w:val="FootnoteReference"/>
        </w:rPr>
        <w:footnoteRef/>
      </w:r>
      <w:r>
        <w:rPr>
          <w:rFonts w:ascii="David" w:cs="David" w:eastAsia="David" w:hAnsi="David"/>
          <w:i w:val="false"/>
          <w:smallCaps w:val="false"/>
          <w:sz w:val="20"/>
          <w:szCs w:val="20"/>
          <w:rtl/>
        </w:rPr>
        <w:t xml:space="preserve"> עניין </w:t>
      </w:r>
      <w:r>
        <w:rPr>
          <w:rFonts w:ascii="David" w:cs="David" w:eastAsia="David" w:hAnsi="David"/>
          <w:b/>
          <w:bCs/>
          <w:i w:val="false"/>
          <w:smallCaps w:val="false"/>
          <w:sz w:val="20"/>
          <w:szCs w:val="20"/>
          <w:rtl/>
        </w:rPr>
        <w:t xml:space="preserve">אלבה</w:t>
      </w:r>
      <w:r>
        <w:rPr>
          <w:rFonts w:ascii="David" w:cs="David" w:eastAsia="David" w:hAnsi="David"/>
          <w:i w:val="false"/>
          <w:smallCaps w:val="false"/>
          <w:sz w:val="20"/>
          <w:szCs w:val="20"/>
          <w:rtl/>
        </w:rPr>
        <w:t xml:space="preserve">, לעיל ה"ש 6, בעמ' 257.</w:t>
      </w:r>
    </w:p>
  </w:footnote>
  <w:footnote w:id="10">
    <w:p>
      <w:pPr>
        <w:bidi/>
        <w:spacing w:after="40" w:line="240"/>
        <w:jc w:val="both"/>
      </w:pPr>
      <w:r>
        <w:rPr>
          <w:rStyle w:val="FootnoteReference"/>
        </w:rPr>
        <w:footnoteRef/>
      </w:r>
      <w:r>
        <w:rPr>
          <w:rFonts w:ascii="David" w:cs="David" w:eastAsia="David" w:hAnsi="David"/>
          <w:i w:val="false"/>
          <w:smallCaps w:val="false"/>
          <w:sz w:val="20"/>
          <w:szCs w:val="20"/>
          <w:rtl/>
        </w:rPr>
        <w:t xml:space="preserve"> ס' 144ג לחוק העונשין.</w:t>
      </w:r>
    </w:p>
  </w:footnote>
  <w:footnote w:id="11">
    <w:p>
      <w:pPr>
        <w:bidi/>
        <w:spacing w:after="40" w:line="240"/>
        <w:jc w:val="both"/>
      </w:pPr>
      <w:r>
        <w:rPr>
          <w:rStyle w:val="FootnoteReference"/>
        </w:rPr>
        <w:footnoteRef/>
      </w:r>
      <w:r>
        <w:rPr>
          <w:rFonts w:ascii="David" w:cs="David" w:eastAsia="David" w:hAnsi="David"/>
          <w:i w:val="false"/>
          <w:smallCaps w:val="false"/>
          <w:sz w:val="20"/>
          <w:szCs w:val="20"/>
          <w:rtl/>
        </w:rPr>
        <w:t xml:space="preserve"> ס' 144ד–144ה לחוק העונשין; עניין </w:t>
      </w:r>
      <w:r>
        <w:rPr>
          <w:rFonts w:ascii="David" w:cs="David" w:eastAsia="David" w:hAnsi="David"/>
          <w:b/>
          <w:bCs/>
          <w:i w:val="false"/>
          <w:smallCaps w:val="false"/>
          <w:sz w:val="20"/>
          <w:szCs w:val="20"/>
          <w:rtl/>
        </w:rPr>
        <w:t xml:space="preserve">אלבה</w:t>
      </w:r>
      <w:r>
        <w:rPr>
          <w:rFonts w:ascii="David" w:cs="David" w:eastAsia="David" w:hAnsi="David"/>
          <w:i w:val="false"/>
          <w:smallCaps w:val="false"/>
          <w:sz w:val="20"/>
          <w:szCs w:val="20"/>
          <w:rtl/>
        </w:rPr>
        <w:t xml:space="preserve">, לעיל ה"ש 6, בעמ' 305.</w:t>
      </w:r>
    </w:p>
  </w:footnote>
  <w:footnote w:id="12">
    <w:p>
      <w:pPr>
        <w:bidi/>
        <w:spacing w:after="40" w:line="240"/>
        <w:jc w:val="both"/>
      </w:pPr>
      <w:r>
        <w:rPr>
          <w:rStyle w:val="FootnoteReference"/>
        </w:rPr>
        <w:footnoteRef/>
      </w:r>
      <w:r>
        <w:rPr>
          <w:rFonts w:ascii="David" w:cs="David" w:eastAsia="David" w:hAnsi="David"/>
          <w:i w:val="false"/>
          <w:smallCaps w:val="false"/>
          <w:sz w:val="20"/>
          <w:szCs w:val="20"/>
          <w:rtl/>
        </w:rPr>
        <w:t xml:space="preserve"> ס' 144ד2 לחוק העונשין; דנ"פ 8613/96 </w:t>
      </w:r>
      <w:r>
        <w:rPr>
          <w:rFonts w:ascii="David" w:cs="David" w:eastAsia="David" w:hAnsi="David"/>
          <w:b/>
          <w:bCs/>
          <w:i w:val="false"/>
          <w:smallCaps w:val="false"/>
          <w:sz w:val="20"/>
          <w:szCs w:val="20"/>
          <w:rtl/>
        </w:rPr>
        <w:t xml:space="preserve">ג'בארין נ' מדינת ישראל</w:t>
      </w:r>
      <w:r>
        <w:rPr>
          <w:rFonts w:ascii="David" w:cs="David" w:eastAsia="David" w:hAnsi="David"/>
          <w:i w:val="false"/>
          <w:smallCaps w:val="false"/>
          <w:sz w:val="20"/>
          <w:szCs w:val="20"/>
          <w:rtl/>
        </w:rPr>
        <w:t xml:space="preserve">, פ"ד נד(5) 193 (2000).</w:t>
      </w:r>
    </w:p>
  </w:footnote>
  <w:footnote w:id="13">
    <w:p>
      <w:pPr>
        <w:bidi/>
        <w:spacing w:after="40" w:line="240"/>
        <w:jc w:val="both"/>
      </w:pPr>
      <w:r>
        <w:rPr>
          <w:rStyle w:val="FootnoteReference"/>
        </w:rPr>
        <w:footnoteRef/>
      </w:r>
      <w:r>
        <w:rPr>
          <w:rFonts w:ascii="David" w:cs="David" w:eastAsia="David" w:hAnsi="David"/>
          <w:i w:val="false"/>
          <w:smallCaps w:val="false"/>
          <w:sz w:val="20"/>
          <w:szCs w:val="20"/>
          <w:rtl/>
        </w:rPr>
        <w:t xml:space="preserve"> עניין </w:t>
      </w:r>
      <w:r>
        <w:rPr>
          <w:rFonts w:ascii="David" w:cs="David" w:eastAsia="David" w:hAnsi="David"/>
          <w:b/>
          <w:bCs/>
          <w:i w:val="false"/>
          <w:smallCaps w:val="false"/>
          <w:sz w:val="20"/>
          <w:szCs w:val="20"/>
          <w:rtl/>
        </w:rPr>
        <w:t xml:space="preserve">אלבה</w:t>
      </w:r>
      <w:r>
        <w:rPr>
          <w:rFonts w:ascii="David" w:cs="David" w:eastAsia="David" w:hAnsi="David"/>
          <w:i w:val="false"/>
          <w:smallCaps w:val="false"/>
          <w:sz w:val="20"/>
          <w:szCs w:val="20"/>
          <w:rtl/>
        </w:rPr>
        <w:t xml:space="preserve">, לעיל ה"ש 6, בעמ' 276; ע"פ 6696/96 </w:t>
      </w:r>
      <w:r>
        <w:rPr>
          <w:rFonts w:ascii="David" w:cs="David" w:eastAsia="David" w:hAnsi="David"/>
          <w:b/>
          <w:bCs/>
          <w:i w:val="false"/>
          <w:smallCaps w:val="false"/>
          <w:sz w:val="20"/>
          <w:szCs w:val="20"/>
          <w:rtl/>
        </w:rPr>
        <w:t xml:space="preserve">כהנא נ' מדינת ישראל</w:t>
      </w:r>
      <w:r>
        <w:rPr>
          <w:rFonts w:ascii="David" w:cs="David" w:eastAsia="David" w:hAnsi="David"/>
          <w:i w:val="false"/>
          <w:smallCaps w:val="false"/>
          <w:sz w:val="20"/>
          <w:szCs w:val="20"/>
          <w:rtl/>
        </w:rPr>
        <w:t xml:space="preserve">, פ"ד נב(1) 535 (1998).</w:t>
      </w:r>
    </w:p>
  </w:footnote>
  <w:footnote w:id="14">
    <w:p>
      <w:pPr>
        <w:bidi/>
        <w:spacing w:after="40" w:line="240"/>
        <w:jc w:val="both"/>
      </w:pPr>
      <w:r>
        <w:rPr>
          <w:rStyle w:val="FootnoteReference"/>
        </w:rPr>
        <w:footnoteRef/>
      </w:r>
      <w:r>
        <w:rPr>
          <w:rFonts w:ascii="David" w:cs="David" w:eastAsia="David" w:hAnsi="David"/>
          <w:i w:val="false"/>
          <w:smallCaps w:val="false"/>
          <w:sz w:val="20"/>
          <w:szCs w:val="20"/>
          <w:rtl/>
        </w:rPr>
        <w:t xml:space="preserve"> ס' 144ו לחוק העונשין; מרים גור-אריה "זכויות אדם והמשפט הפלילי המהותי" </w:t>
      </w:r>
      <w:r>
        <w:rPr>
          <w:rFonts w:ascii="David" w:cs="David" w:eastAsia="David" w:hAnsi="David"/>
          <w:b/>
          <w:bCs/>
          <w:i w:val="false"/>
          <w:smallCaps w:val="false"/>
          <w:sz w:val="20"/>
          <w:szCs w:val="20"/>
          <w:rtl/>
        </w:rPr>
        <w:t xml:space="preserve">משפטים</w:t>
      </w:r>
      <w:r>
        <w:rPr>
          <w:rFonts w:ascii="David" w:cs="David" w:eastAsia="David" w:hAnsi="David"/>
          <w:i w:val="false"/>
          <w:smallCaps w:val="false"/>
          <w:sz w:val="20"/>
          <w:szCs w:val="20"/>
          <w:rtl/>
        </w:rPr>
        <w:t xml:space="preserve"> נ 759, 765 ה"ש 23 (2021).</w:t>
      </w:r>
    </w:p>
  </w:footnote>
  <w:footnote w:id="15">
    <w:p>
      <w:pPr>
        <w:bidi/>
        <w:spacing w:after="40" w:line="240"/>
        <w:jc w:val="both"/>
      </w:pPr>
      <w:r>
        <w:rPr>
          <w:rStyle w:val="FootnoteReference"/>
        </w:rPr>
        <w:footnoteRef/>
      </w:r>
      <w:r>
        <w:rPr>
          <w:rFonts w:ascii="David" w:cs="David" w:eastAsia="David" w:hAnsi="David"/>
          <w:i w:val="false"/>
          <w:smallCaps w:val="false"/>
          <w:sz w:val="20"/>
          <w:szCs w:val="20"/>
          <w:rtl/>
        </w:rPr>
        <w:t xml:space="preserve"> ת"פ (מחוזי י-ם) 251/94 </w:t>
      </w:r>
      <w:r>
        <w:rPr>
          <w:rFonts w:ascii="David" w:cs="David" w:eastAsia="David" w:hAnsi="David"/>
          <w:b/>
          <w:bCs/>
          <w:i w:val="false"/>
          <w:smallCaps w:val="false"/>
          <w:sz w:val="20"/>
          <w:szCs w:val="20"/>
          <w:rtl/>
        </w:rPr>
        <w:t xml:space="preserve">מדינת ישראל נ' אלבה</w:t>
      </w:r>
      <w:r>
        <w:rPr>
          <w:rFonts w:ascii="David" w:cs="David" w:eastAsia="David" w:hAnsi="David"/>
          <w:i w:val="false"/>
          <w:smallCaps w:val="false"/>
          <w:sz w:val="20"/>
          <w:szCs w:val="20"/>
          <w:rtl/>
        </w:rPr>
        <w:t xml:space="preserve"> (נבו 12.4.1995); מרשק-מרום, לעיל ה"ש 5, בעמ' 571.</w:t>
      </w:r>
    </w:p>
  </w:footnote>
  <w:footnote w:id="16">
    <w:p>
      <w:pPr>
        <w:bidi/>
        <w:spacing w:after="40" w:line="240"/>
        <w:jc w:val="both"/>
      </w:pPr>
      <w:r>
        <w:rPr>
          <w:rStyle w:val="FootnoteReference"/>
        </w:rPr>
        <w:footnoteRef/>
      </w:r>
      <w:r>
        <w:rPr>
          <w:rFonts w:ascii="David" w:cs="David" w:eastAsia="David" w:hAnsi="David"/>
          <w:i w:val="false"/>
          <w:smallCaps w:val="false"/>
          <w:sz w:val="20"/>
          <w:szCs w:val="20"/>
          <w:rtl/>
        </w:rPr>
        <w:t xml:space="preserve"> עניין </w:t>
      </w:r>
      <w:r>
        <w:rPr>
          <w:rFonts w:ascii="David" w:cs="David" w:eastAsia="David" w:hAnsi="David"/>
          <w:b/>
          <w:bCs/>
          <w:i w:val="false"/>
          <w:smallCaps w:val="false"/>
          <w:sz w:val="20"/>
          <w:szCs w:val="20"/>
          <w:rtl/>
        </w:rPr>
        <w:t xml:space="preserve">אלבה</w:t>
      </w:r>
      <w:r>
        <w:rPr>
          <w:rFonts w:ascii="David" w:cs="David" w:eastAsia="David" w:hAnsi="David"/>
          <w:i w:val="false"/>
          <w:smallCaps w:val="false"/>
          <w:sz w:val="20"/>
          <w:szCs w:val="20"/>
          <w:rtl/>
        </w:rPr>
        <w:t xml:space="preserve">, לעיל ה"ש 6, בעמ' 264–265, 270.</w:t>
      </w:r>
    </w:p>
  </w:footnote>
  <w:footnote w:id="17">
    <w:p>
      <w:pPr>
        <w:bidi/>
        <w:spacing w:after="40" w:line="240"/>
        <w:jc w:val="both"/>
      </w:pPr>
      <w:r>
        <w:rPr>
          <w:rStyle w:val="FootnoteReference"/>
        </w:rPr>
        <w:footnoteRef/>
      </w:r>
      <w:r>
        <w:rPr>
          <w:rFonts w:ascii="David" w:cs="David" w:eastAsia="David" w:hAnsi="David"/>
          <w:i w:val="false"/>
          <w:smallCaps w:val="false"/>
          <w:sz w:val="20"/>
          <w:szCs w:val="20"/>
          <w:rtl/>
        </w:rPr>
        <w:t xml:space="preserve"> שם, בעמ' 265–266.</w:t>
      </w:r>
    </w:p>
  </w:footnote>
  <w:footnote w:id="18">
    <w:p>
      <w:pPr>
        <w:bidi/>
        <w:spacing w:after="40" w:line="240"/>
        <w:jc w:val="both"/>
      </w:pPr>
      <w:r>
        <w:rPr>
          <w:rStyle w:val="FootnoteReference"/>
        </w:rPr>
        <w:footnoteRef/>
      </w:r>
      <w:r>
        <w:rPr>
          <w:rFonts w:ascii="David" w:cs="David" w:eastAsia="David" w:hAnsi="David"/>
          <w:i w:val="false"/>
          <w:smallCaps w:val="false"/>
          <w:sz w:val="20"/>
          <w:szCs w:val="20"/>
          <w:rtl/>
        </w:rPr>
        <w:t xml:space="preserve"> שם, בעמ' 270–273.</w:t>
      </w:r>
    </w:p>
  </w:footnote>
  <w:footnote w:id="19">
    <w:p>
      <w:pPr>
        <w:bidi/>
        <w:spacing w:after="40" w:line="240"/>
        <w:jc w:val="both"/>
      </w:pPr>
      <w:r>
        <w:rPr>
          <w:rStyle w:val="FootnoteReference"/>
        </w:rPr>
        <w:footnoteRef/>
      </w:r>
      <w:r>
        <w:rPr>
          <w:rFonts w:ascii="David" w:cs="David" w:eastAsia="David" w:hAnsi="David"/>
          <w:i w:val="false"/>
          <w:smallCaps w:val="false"/>
          <w:sz w:val="20"/>
          <w:szCs w:val="20"/>
          <w:rtl/>
        </w:rPr>
        <w:t xml:space="preserve"> שם, בעמ' 294–295.</w:t>
      </w:r>
    </w:p>
  </w:footnote>
  <w:footnote w:id="20">
    <w:p>
      <w:pPr>
        <w:bidi/>
        <w:spacing w:after="40" w:line="240"/>
        <w:jc w:val="both"/>
      </w:pPr>
      <w:r>
        <w:rPr>
          <w:rStyle w:val="FootnoteReference"/>
        </w:rPr>
        <w:footnoteRef/>
      </w:r>
      <w:r>
        <w:rPr>
          <w:rFonts w:ascii="David" w:cs="David" w:eastAsia="David" w:hAnsi="David"/>
          <w:i w:val="false"/>
          <w:smallCaps w:val="false"/>
          <w:sz w:val="20"/>
          <w:szCs w:val="20"/>
          <w:rtl/>
        </w:rPr>
        <w:t xml:space="preserve"> שם, בעמ' 295–297.</w:t>
      </w:r>
    </w:p>
  </w:footnote>
  <w:footnote w:id="21">
    <w:p>
      <w:pPr>
        <w:bidi/>
        <w:spacing w:after="40" w:line="240"/>
        <w:jc w:val="both"/>
      </w:pPr>
      <w:r>
        <w:rPr>
          <w:rStyle w:val="FootnoteReference"/>
        </w:rPr>
        <w:footnoteRef/>
      </w:r>
      <w:r>
        <w:rPr>
          <w:rFonts w:ascii="David" w:cs="David" w:eastAsia="David" w:hAnsi="David"/>
          <w:i w:val="false"/>
          <w:smallCaps w:val="false"/>
          <w:sz w:val="20"/>
          <w:szCs w:val="20"/>
          <w:rtl/>
        </w:rPr>
        <w:t xml:space="preserve"> מרשק-מרום, לעיל ה"ש 5, בעמ' 572.</w:t>
      </w:r>
    </w:p>
  </w:footnote>
  <w:footnote w:id="22">
    <w:p>
      <w:pPr>
        <w:bidi/>
        <w:spacing w:after="40" w:line="240"/>
        <w:jc w:val="both"/>
      </w:pPr>
      <w:r>
        <w:rPr>
          <w:rStyle w:val="FootnoteReference"/>
        </w:rPr>
        <w:footnoteRef/>
      </w:r>
      <w:r>
        <w:rPr>
          <w:rFonts w:ascii="David" w:cs="David" w:eastAsia="David" w:hAnsi="David"/>
          <w:i w:val="false"/>
          <w:smallCaps w:val="false"/>
          <w:sz w:val="20"/>
          <w:szCs w:val="20"/>
          <w:rtl/>
        </w:rPr>
        <w:t xml:space="preserve"> ע"פ (מחוזי י-ם) 8612/04 </w:t>
      </w:r>
      <w:r>
        <w:rPr>
          <w:rFonts w:ascii="David" w:cs="David" w:eastAsia="David" w:hAnsi="David"/>
          <w:b/>
          <w:bCs/>
          <w:i w:val="false"/>
          <w:smallCaps w:val="false"/>
          <w:sz w:val="20"/>
          <w:szCs w:val="20"/>
          <w:rtl/>
        </w:rPr>
        <w:t xml:space="preserve">העברי נ' מדינת ישראל</w:t>
      </w:r>
      <w:r>
        <w:rPr>
          <w:rFonts w:ascii="David" w:cs="David" w:eastAsia="David" w:hAnsi="David"/>
          <w:i w:val="false"/>
          <w:smallCaps w:val="false"/>
          <w:sz w:val="20"/>
          <w:szCs w:val="20"/>
          <w:rtl/>
        </w:rPr>
        <w:t xml:space="preserve"> (נבו 4.5.2005).</w:t>
      </w:r>
    </w:p>
  </w:footnote>
  <w:footnote w:id="23">
    <w:p>
      <w:pPr>
        <w:bidi/>
        <w:spacing w:after="40" w:line="240"/>
        <w:jc w:val="both"/>
      </w:pPr>
      <w:r>
        <w:rPr>
          <w:rStyle w:val="FootnoteReference"/>
        </w:rPr>
        <w:footnoteRef/>
      </w:r>
      <w:r>
        <w:rPr>
          <w:rFonts w:ascii="David" w:cs="David" w:eastAsia="David" w:hAnsi="David"/>
          <w:i w:val="false"/>
          <w:smallCaps w:val="false"/>
          <w:sz w:val="20"/>
          <w:szCs w:val="20"/>
          <w:rtl/>
        </w:rPr>
        <w:t xml:space="preserve"> רע"פ 7669/15 </w:t>
      </w:r>
      <w:r>
        <w:rPr>
          <w:rFonts w:ascii="David" w:cs="David" w:eastAsia="David" w:hAnsi="David"/>
          <w:b/>
          <w:bCs/>
          <w:i w:val="false"/>
          <w:smallCaps w:val="false"/>
          <w:sz w:val="20"/>
          <w:szCs w:val="20"/>
          <w:rtl/>
        </w:rPr>
        <w:t xml:space="preserve">מחאג'נה נ' מדינת ישראל</w:t>
      </w:r>
      <w:r>
        <w:rPr>
          <w:rFonts w:ascii="David" w:cs="David" w:eastAsia="David" w:hAnsi="David"/>
          <w:i w:val="false"/>
          <w:smallCaps w:val="false"/>
          <w:sz w:val="20"/>
          <w:szCs w:val="20"/>
          <w:rtl/>
        </w:rPr>
        <w:t xml:space="preserve">, פס' ג לפסק דינו של המשנה לנשיאה רובינשטיין (נבו 18.4.2016) (להלן: עניין </w:t>
      </w:r>
      <w:r>
        <w:rPr>
          <w:rFonts w:ascii="David" w:cs="David" w:eastAsia="David" w:hAnsi="David"/>
          <w:b/>
          <w:bCs/>
          <w:i w:val="false"/>
          <w:smallCaps w:val="false"/>
          <w:sz w:val="20"/>
          <w:szCs w:val="20"/>
          <w:rtl/>
        </w:rPr>
        <w:t xml:space="preserve">סלאח</w:t>
      </w:r>
      <w:r>
        <w:rPr>
          <w:rFonts w:ascii="David" w:cs="David" w:eastAsia="David" w:hAnsi="David"/>
          <w:i w:val="false"/>
          <w:smallCaps w:val="false"/>
          <w:sz w:val="20"/>
          <w:szCs w:val="20"/>
          <w:rtl/>
        </w:rPr>
        <w:t xml:space="preserve">).</w:t>
      </w:r>
    </w:p>
  </w:footnote>
  <w:footnote w:id="24">
    <w:p>
      <w:pPr>
        <w:bidi/>
        <w:spacing w:after="40" w:line="240"/>
        <w:jc w:val="both"/>
      </w:pPr>
      <w:r>
        <w:rPr>
          <w:rStyle w:val="FootnoteReference"/>
        </w:rPr>
        <w:footnoteRef/>
      </w:r>
      <w:r>
        <w:rPr>
          <w:rFonts w:ascii="David" w:cs="David" w:eastAsia="David" w:hAnsi="David"/>
          <w:i w:val="false"/>
          <w:smallCaps w:val="false"/>
          <w:sz w:val="20"/>
          <w:szCs w:val="20"/>
          <w:rtl/>
        </w:rPr>
        <w:t xml:space="preserve"> שם, פס' ה, ט.</w:t>
      </w:r>
    </w:p>
  </w:footnote>
  <w:footnote w:id="25">
    <w:p>
      <w:pPr>
        <w:bidi/>
        <w:spacing w:after="40" w:line="240"/>
        <w:jc w:val="both"/>
      </w:pPr>
      <w:r>
        <w:rPr>
          <w:rStyle w:val="FootnoteReference"/>
        </w:rPr>
        <w:footnoteRef/>
      </w:r>
      <w:r>
        <w:rPr>
          <w:rFonts w:ascii="David" w:cs="David" w:eastAsia="David" w:hAnsi="David"/>
          <w:i w:val="false"/>
          <w:smallCaps w:val="false"/>
          <w:sz w:val="20"/>
          <w:szCs w:val="20"/>
          <w:rtl/>
        </w:rPr>
        <w:t xml:space="preserve"> שם; מרשק-מרום, לעיל ה"ש 5, בעמ' 573.</w:t>
      </w:r>
    </w:p>
  </w:footnote>
  <w:footnote w:id="26">
    <w:p>
      <w:pPr>
        <w:bidi/>
        <w:spacing w:after="40" w:line="240"/>
        <w:jc w:val="both"/>
      </w:pPr>
      <w:r>
        <w:rPr>
          <w:rStyle w:val="FootnoteReference"/>
        </w:rPr>
        <w:footnoteRef/>
      </w:r>
      <w:r>
        <w:rPr>
          <w:rFonts w:ascii="David" w:cs="David" w:eastAsia="David" w:hAnsi="David"/>
          <w:i w:val="false"/>
          <w:smallCaps w:val="false"/>
          <w:sz w:val="20"/>
          <w:szCs w:val="20"/>
          <w:rtl/>
        </w:rPr>
        <w:t xml:space="preserve"> עניין </w:t>
      </w:r>
      <w:r>
        <w:rPr>
          <w:rFonts w:ascii="David" w:cs="David" w:eastAsia="David" w:hAnsi="David"/>
          <w:b/>
          <w:bCs/>
          <w:i w:val="false"/>
          <w:smallCaps w:val="false"/>
          <w:sz w:val="20"/>
          <w:szCs w:val="20"/>
          <w:rtl/>
        </w:rPr>
        <w:t xml:space="preserve">סלאח</w:t>
      </w:r>
      <w:r>
        <w:rPr>
          <w:rFonts w:ascii="David" w:cs="David" w:eastAsia="David" w:hAnsi="David"/>
          <w:i w:val="false"/>
          <w:smallCaps w:val="false"/>
          <w:sz w:val="20"/>
          <w:szCs w:val="20"/>
          <w:rtl/>
        </w:rPr>
        <w:t xml:space="preserve">, לעיל ה"ש 23.</w:t>
      </w:r>
    </w:p>
  </w:footnote>
  <w:footnote w:id="27">
    <w:p>
      <w:pPr>
        <w:bidi/>
        <w:spacing w:after="40" w:line="240"/>
        <w:jc w:val="both"/>
      </w:pPr>
      <w:r>
        <w:rPr>
          <w:rStyle w:val="FootnoteReference"/>
        </w:rPr>
        <w:footnoteRef/>
      </w:r>
      <w:r>
        <w:rPr>
          <w:rFonts w:ascii="David" w:cs="David" w:eastAsia="David" w:hAnsi="David"/>
          <w:i w:val="false"/>
          <w:smallCaps w:val="false"/>
          <w:sz w:val="20"/>
          <w:szCs w:val="20"/>
          <w:rtl/>
        </w:rPr>
        <w:t xml:space="preserve"> שם.</w:t>
      </w:r>
    </w:p>
  </w:footnote>
  <w:footnote w:id="28">
    <w:p>
      <w:pPr>
        <w:bidi/>
        <w:spacing w:after="40" w:line="240"/>
        <w:jc w:val="both"/>
      </w:pPr>
      <w:r>
        <w:rPr>
          <w:rStyle w:val="FootnoteReference"/>
        </w:rPr>
        <w:footnoteRef/>
      </w:r>
      <w:r>
        <w:rPr>
          <w:rFonts w:ascii="David" w:cs="David" w:eastAsia="David" w:hAnsi="David"/>
          <w:i w:val="false"/>
          <w:smallCaps w:val="false"/>
          <w:sz w:val="20"/>
          <w:szCs w:val="20"/>
          <w:rtl/>
        </w:rPr>
        <w:t xml:space="preserve"> בג"ץ 2684/12 </w:t>
      </w:r>
      <w:r>
        <w:rPr>
          <w:rFonts w:ascii="David" w:cs="David" w:eastAsia="David" w:hAnsi="David"/>
          <w:b/>
          <w:bCs/>
          <w:i w:val="false"/>
          <w:smallCaps w:val="false"/>
          <w:sz w:val="20"/>
          <w:szCs w:val="20"/>
          <w:rtl/>
        </w:rPr>
        <w:t xml:space="preserve">י"ב בחשוון התנועה לחיזוק הסובלנות בחינוך הדתי נ' היועץ המשפטי לממשלה</w:t>
      </w:r>
      <w:r>
        <w:rPr>
          <w:rFonts w:ascii="David" w:cs="David" w:eastAsia="David" w:hAnsi="David"/>
          <w:i w:val="false"/>
          <w:smallCaps w:val="false"/>
          <w:sz w:val="20"/>
          <w:szCs w:val="20"/>
          <w:rtl/>
        </w:rPr>
        <w:t xml:space="preserve">, פס' ב, ז לפסק דינו של המשנה לנשיאה רובינשטיין (נבו 9.12.2015) (להלן: פרשת </w:t>
      </w:r>
      <w:r>
        <w:rPr>
          <w:rFonts w:ascii="David" w:cs="David" w:eastAsia="David" w:hAnsi="David"/>
          <w:b/>
          <w:bCs/>
          <w:i w:val="false"/>
          <w:smallCaps w:val="false"/>
          <w:sz w:val="20"/>
          <w:szCs w:val="20"/>
          <w:rtl/>
        </w:rPr>
        <w:t xml:space="preserve">תורת המלך</w:t>
      </w:r>
      <w:r>
        <w:rPr>
          <w:rFonts w:ascii="David" w:cs="David" w:eastAsia="David" w:hAnsi="David"/>
          <w:i w:val="false"/>
          <w:smallCaps w:val="false"/>
          <w:sz w:val="20"/>
          <w:szCs w:val="20"/>
          <w:rtl/>
        </w:rPr>
        <w:t xml:space="preserve">).</w:t>
      </w:r>
    </w:p>
  </w:footnote>
  <w:footnote w:id="29">
    <w:p>
      <w:pPr>
        <w:bidi/>
        <w:spacing w:after="40" w:line="240"/>
        <w:jc w:val="both"/>
      </w:pPr>
      <w:r>
        <w:rPr>
          <w:rStyle w:val="FootnoteReference"/>
        </w:rPr>
        <w:footnoteRef/>
      </w:r>
      <w:r>
        <w:rPr>
          <w:rFonts w:ascii="David" w:cs="David" w:eastAsia="David" w:hAnsi="David"/>
          <w:i w:val="false"/>
          <w:smallCaps w:val="false"/>
          <w:sz w:val="20"/>
          <w:szCs w:val="20"/>
          <w:rtl/>
        </w:rPr>
        <w:t xml:space="preserve"> שם, פס' לב; מרשק-מרום, לעיל ה"ש 5, בעמ' 572–573.</w:t>
      </w:r>
    </w:p>
  </w:footnote>
  <w:footnote w:id="30">
    <w:p>
      <w:pPr>
        <w:bidi/>
        <w:spacing w:after="40" w:line="240"/>
        <w:jc w:val="both"/>
      </w:pPr>
      <w:r>
        <w:rPr>
          <w:rStyle w:val="FootnoteReference"/>
        </w:rPr>
        <w:footnoteRef/>
      </w:r>
      <w:r>
        <w:rPr>
          <w:rFonts w:ascii="David" w:cs="David" w:eastAsia="David" w:hAnsi="David"/>
          <w:i w:val="false"/>
          <w:smallCaps w:val="false"/>
          <w:sz w:val="20"/>
          <w:szCs w:val="20"/>
          <w:rtl/>
        </w:rPr>
        <w:t xml:space="preserve"> עניין </w:t>
      </w:r>
      <w:r>
        <w:rPr>
          <w:rFonts w:ascii="David" w:cs="David" w:eastAsia="David" w:hAnsi="David"/>
          <w:b/>
          <w:bCs/>
          <w:i w:val="false"/>
          <w:smallCaps w:val="false"/>
          <w:sz w:val="20"/>
          <w:szCs w:val="20"/>
          <w:rtl/>
        </w:rPr>
        <w:t xml:space="preserve">אלבה</w:t>
      </w:r>
      <w:r>
        <w:rPr>
          <w:rFonts w:ascii="David" w:cs="David" w:eastAsia="David" w:hAnsi="David"/>
          <w:i w:val="false"/>
          <w:smallCaps w:val="false"/>
          <w:sz w:val="20"/>
          <w:szCs w:val="20"/>
          <w:rtl/>
        </w:rPr>
        <w:t xml:space="preserve">, לעיל ה"ש 6, בעמ' 270–273.</w:t>
      </w:r>
    </w:p>
  </w:footnote>
  <w:footnote w:id="31">
    <w:p>
      <w:pPr>
        <w:bidi/>
        <w:spacing w:after="40" w:line="240"/>
        <w:jc w:val="both"/>
      </w:pPr>
      <w:r>
        <w:rPr>
          <w:rStyle w:val="FootnoteReference"/>
        </w:rPr>
        <w:footnoteRef/>
      </w:r>
      <w:r>
        <w:rPr>
          <w:rFonts w:ascii="David" w:cs="David" w:eastAsia="David" w:hAnsi="David"/>
          <w:i w:val="false"/>
          <w:smallCaps w:val="false"/>
          <w:sz w:val="20"/>
          <w:szCs w:val="20"/>
          <w:rtl/>
        </w:rPr>
        <w:t xml:space="preserve"> שם, בעמ' 257.</w:t>
      </w:r>
    </w:p>
  </w:footnote>
  <w:footnote w:id="32">
    <w:p>
      <w:pPr>
        <w:bidi/>
        <w:spacing w:after="40" w:line="240"/>
        <w:jc w:val="both"/>
      </w:pPr>
      <w:r>
        <w:rPr>
          <w:rStyle w:val="FootnoteReference"/>
        </w:rPr>
        <w:footnoteRef/>
      </w:r>
      <w:r>
        <w:rPr>
          <w:rFonts w:ascii="David" w:cs="David" w:eastAsia="David" w:hAnsi="David"/>
          <w:i w:val="false"/>
          <w:smallCaps w:val="false"/>
          <w:sz w:val="20"/>
          <w:szCs w:val="20"/>
          <w:rtl/>
        </w:rPr>
        <w:t xml:space="preserve"> פרשת </w:t>
      </w:r>
      <w:r>
        <w:rPr>
          <w:rFonts w:ascii="David" w:cs="David" w:eastAsia="David" w:hAnsi="David"/>
          <w:b/>
          <w:bCs/>
          <w:i w:val="false"/>
          <w:smallCaps w:val="false"/>
          <w:sz w:val="20"/>
          <w:szCs w:val="20"/>
          <w:rtl/>
        </w:rPr>
        <w:t xml:space="preserve">תורת המלך</w:t>
      </w:r>
      <w:r>
        <w:rPr>
          <w:rFonts w:ascii="David" w:cs="David" w:eastAsia="David" w:hAnsi="David"/>
          <w:i w:val="false"/>
          <w:smallCaps w:val="false"/>
          <w:sz w:val="20"/>
          <w:szCs w:val="20"/>
          <w:rtl/>
        </w:rPr>
        <w:t xml:space="preserve">, לעיל ה"ש 28.</w:t>
      </w:r>
    </w:p>
  </w:footnote>
  <w:footnote w:id="33">
    <w:p>
      <w:pPr>
        <w:bidi/>
        <w:spacing w:after="40" w:line="240"/>
        <w:jc w:val="both"/>
      </w:pPr>
      <w:r>
        <w:rPr>
          <w:rStyle w:val="FootnoteReference"/>
        </w:rPr>
        <w:footnoteRef/>
      </w:r>
      <w:r>
        <w:rPr>
          <w:rFonts w:ascii="David" w:cs="David" w:eastAsia="David" w:hAnsi="David"/>
          <w:i w:val="false"/>
          <w:smallCaps w:val="false"/>
          <w:sz w:val="20"/>
          <w:szCs w:val="20"/>
          <w:rtl/>
        </w:rPr>
        <w:t xml:space="preserve"> ס' 20(ב) לחוק העונשין; עניין </w:t>
      </w:r>
      <w:r>
        <w:rPr>
          <w:rFonts w:ascii="David" w:cs="David" w:eastAsia="David" w:hAnsi="David"/>
          <w:b/>
          <w:bCs/>
          <w:i w:val="false"/>
          <w:smallCaps w:val="false"/>
          <w:sz w:val="20"/>
          <w:szCs w:val="20"/>
          <w:rtl/>
        </w:rPr>
        <w:t xml:space="preserve">סלאח</w:t>
      </w:r>
      <w:r>
        <w:rPr>
          <w:rFonts w:ascii="David" w:cs="David" w:eastAsia="David" w:hAnsi="David"/>
          <w:i w:val="false"/>
          <w:smallCaps w:val="false"/>
          <w:sz w:val="20"/>
          <w:szCs w:val="20"/>
          <w:rtl/>
        </w:rPr>
        <w:t xml:space="preserve">, לעיל ה"ש 23, </w:t>
      </w:r>
      <w:r>
        <w:rPr>
          <w:rFonts w:ascii="David" w:cs="David" w:eastAsia="David" w:hAnsi="David"/>
          <w:i w:val="false"/>
          <w:smallCaps w:val="false"/>
          <w:sz w:val="20"/>
          <w:szCs w:val="20"/>
          <w:highlight w:val="yellow"/>
          <w:rtl/>
        </w:rPr>
        <w:t xml:space="preserve">פס' נו</w:t>
      </w:r>
      <w:r>
        <w:rPr>
          <w:rFonts w:ascii="David" w:cs="David" w:eastAsia="David" w:hAnsi="David"/>
          <w:i w:val="false"/>
          <w:smallCaps w:val="false"/>
          <w:sz w:val="20"/>
          <w:szCs w:val="20"/>
          <w:rtl/>
        </w:rPr>
        <w:t xml:space="preserve">; גיל עשת "הלכת הצפיות: יסודות של ודאות מול שיקול-דעת שיפוטי על רקע תיקון 39 לחוק העונשין" </w:t>
      </w:r>
      <w:r>
        <w:rPr>
          <w:rFonts w:ascii="David" w:cs="David" w:eastAsia="David" w:hAnsi="David"/>
          <w:b/>
          <w:bCs/>
          <w:i w:val="false"/>
          <w:smallCaps w:val="false"/>
          <w:sz w:val="20"/>
          <w:szCs w:val="20"/>
          <w:rtl/>
        </w:rPr>
        <w:t xml:space="preserve">עלי משפט</w:t>
      </w:r>
      <w:r>
        <w:rPr>
          <w:rFonts w:ascii="David" w:cs="David" w:eastAsia="David" w:hAnsi="David"/>
          <w:i w:val="false"/>
          <w:smallCaps w:val="false"/>
          <w:sz w:val="20"/>
          <w:szCs w:val="20"/>
          <w:rtl/>
        </w:rPr>
        <w:t xml:space="preserve"> ג 617 (2003); יורם רבין ויניב ואקי </w:t>
      </w:r>
      <w:r>
        <w:rPr>
          <w:rFonts w:ascii="David" w:cs="David" w:eastAsia="David" w:hAnsi="David"/>
          <w:b/>
          <w:bCs/>
          <w:i w:val="false"/>
          <w:smallCaps w:val="false"/>
          <w:sz w:val="20"/>
          <w:szCs w:val="20"/>
          <w:rtl/>
        </w:rPr>
        <w:t xml:space="preserve">דיני עונשין</w:t>
      </w:r>
      <w:r>
        <w:rPr>
          <w:rFonts w:ascii="David" w:cs="David" w:eastAsia="David" w:hAnsi="David"/>
          <w:i w:val="false"/>
          <w:smallCaps w:val="false"/>
          <w:sz w:val="20"/>
          <w:szCs w:val="20"/>
          <w:rtl/>
        </w:rPr>
        <w:t xml:space="preserve"> א 456–458 (מהדורה שלישית 2014).</w:t>
      </w:r>
    </w:p>
  </w:footnote>
  <w:footnote w:id="34">
    <w:p>
      <w:pPr>
        <w:bidi/>
        <w:spacing w:after="40" w:line="240"/>
        <w:jc w:val="both"/>
      </w:pPr>
      <w:r>
        <w:rPr>
          <w:rStyle w:val="FootnoteReference"/>
        </w:rPr>
        <w:footnoteRef/>
      </w:r>
      <w:r>
        <w:rPr>
          <w:rFonts w:ascii="David" w:cs="David" w:eastAsia="David" w:hAnsi="David"/>
          <w:i w:val="false"/>
          <w:smallCaps w:val="false"/>
          <w:sz w:val="20"/>
          <w:szCs w:val="20"/>
          <w:rtl/>
        </w:rPr>
        <w:t xml:space="preserve"> עניין </w:t>
      </w:r>
      <w:r>
        <w:rPr>
          <w:rFonts w:ascii="David" w:cs="David" w:eastAsia="David" w:hAnsi="David"/>
          <w:b/>
          <w:bCs/>
          <w:i w:val="false"/>
          <w:smallCaps w:val="false"/>
          <w:sz w:val="20"/>
          <w:szCs w:val="20"/>
          <w:rtl/>
        </w:rPr>
        <w:t xml:space="preserve">אלבה</w:t>
      </w:r>
      <w:r>
        <w:rPr>
          <w:rFonts w:ascii="David" w:cs="David" w:eastAsia="David" w:hAnsi="David"/>
          <w:i w:val="false"/>
          <w:smallCaps w:val="false"/>
          <w:sz w:val="20"/>
          <w:szCs w:val="20"/>
          <w:rtl/>
        </w:rPr>
        <w:t xml:space="preserve">, לעיל ה"ש 6, בעמ' 262, 281.</w:t>
      </w:r>
    </w:p>
  </w:footnote>
  <w:footnote w:id="35">
    <w:p>
      <w:pPr>
        <w:bidi/>
        <w:spacing w:after="40" w:line="240"/>
        <w:jc w:val="both"/>
      </w:pPr>
      <w:r>
        <w:rPr>
          <w:rStyle w:val="FootnoteReference"/>
        </w:rPr>
        <w:footnoteRef/>
      </w:r>
      <w:r>
        <w:rPr>
          <w:rFonts w:ascii="David" w:cs="David" w:eastAsia="David" w:hAnsi="David"/>
          <w:i w:val="false"/>
          <w:smallCaps w:val="false"/>
          <w:sz w:val="20"/>
          <w:szCs w:val="20"/>
          <w:rtl/>
        </w:rPr>
        <w:t xml:space="preserve"> שם, בעמ' 299–303.</w:t>
      </w:r>
    </w:p>
  </w:footnote>
  <w:footnote w:id="36">
    <w:p>
      <w:pPr>
        <w:bidi/>
        <w:spacing w:after="40" w:line="240"/>
        <w:jc w:val="both"/>
      </w:pPr>
      <w:r>
        <w:rPr>
          <w:rStyle w:val="FootnoteReference"/>
        </w:rPr>
        <w:footnoteRef/>
      </w:r>
      <w:r>
        <w:rPr>
          <w:rFonts w:ascii="David" w:cs="David" w:eastAsia="David" w:hAnsi="David"/>
          <w:i w:val="false"/>
          <w:smallCaps w:val="false"/>
          <w:sz w:val="20"/>
          <w:szCs w:val="20"/>
          <w:rtl/>
        </w:rPr>
        <w:t xml:space="preserve"> רות קנאי ורוני רוזנברג "הלכת הצפיות ועבירת הניסיון: הילכו שתיהן יחדיו?" </w:t>
      </w:r>
      <w:r>
        <w:rPr>
          <w:rFonts w:ascii="David" w:cs="David" w:eastAsia="David" w:hAnsi="David"/>
          <w:b/>
          <w:bCs/>
          <w:i w:val="false"/>
          <w:smallCaps w:val="false"/>
          <w:sz w:val="20"/>
          <w:szCs w:val="20"/>
          <w:rtl/>
        </w:rPr>
        <w:t xml:space="preserve">ספר יעקב וינרוט</w:t>
      </w:r>
      <w:r>
        <w:rPr>
          <w:rFonts w:ascii="David" w:cs="David" w:eastAsia="David" w:hAnsi="David"/>
          <w:i w:val="false"/>
          <w:smallCaps w:val="false"/>
          <w:sz w:val="20"/>
          <w:szCs w:val="20"/>
          <w:rtl/>
        </w:rPr>
        <w:t xml:space="preserve"> 475, 484–485 (</w:t>
      </w:r>
      <w:r>
        <w:rPr>
          <w:rFonts w:ascii="David" w:cs="David" w:eastAsia="David" w:hAnsi="David"/>
          <w:i w:val="false"/>
          <w:smallCaps w:val="false"/>
          <w:sz w:val="20"/>
          <w:szCs w:val="20"/>
          <w:highlight w:val="yellow"/>
          <w:rtl/>
        </w:rPr>
        <w:t xml:space="preserve">שמות העורכים</w:t>
      </w:r>
      <w:r>
        <w:rPr>
          <w:rFonts w:ascii="David" w:cs="David" w:eastAsia="David" w:hAnsi="David"/>
          <w:i w:val="false"/>
          <w:smallCaps w:val="false"/>
          <w:sz w:val="20"/>
          <w:szCs w:val="20"/>
          <w:rtl/>
        </w:rPr>
        <w:t xml:space="preserve"> עורכים 2021).</w:t>
      </w:r>
    </w:p>
  </w:footnote>
  <w:footnote w:id="37">
    <w:p>
      <w:pPr>
        <w:bidi/>
        <w:spacing w:after="40" w:line="240"/>
        <w:jc w:val="both"/>
      </w:pPr>
      <w:r>
        <w:rPr>
          <w:rStyle w:val="FootnoteReference"/>
        </w:rPr>
        <w:footnoteRef/>
      </w:r>
      <w:r>
        <w:rPr>
          <w:rFonts w:ascii="David" w:cs="David" w:eastAsia="David" w:hAnsi="David"/>
          <w:i w:val="false"/>
          <w:smallCaps w:val="false"/>
          <w:sz w:val="20"/>
          <w:szCs w:val="20"/>
          <w:rtl/>
        </w:rPr>
        <w:t xml:space="preserve"> ע"פ 99/14 </w:t>
      </w:r>
      <w:r>
        <w:rPr>
          <w:rFonts w:ascii="David" w:cs="David" w:eastAsia="David" w:hAnsi="David"/>
          <w:b/>
          <w:bCs/>
          <w:i w:val="false"/>
          <w:smallCaps w:val="false"/>
          <w:sz w:val="20"/>
          <w:szCs w:val="20"/>
          <w:rtl/>
        </w:rPr>
        <w:t xml:space="preserve">מדינת ישראל נ' מליסרון בע"מ</w:t>
      </w:r>
      <w:r>
        <w:rPr>
          <w:rFonts w:ascii="David" w:cs="David" w:eastAsia="David" w:hAnsi="David"/>
          <w:i w:val="false"/>
          <w:smallCaps w:val="false"/>
          <w:sz w:val="20"/>
          <w:szCs w:val="20"/>
          <w:rtl/>
        </w:rPr>
        <w:t xml:space="preserve">, פס' נז לפסק דינו של השופט (כתוארו אז) רובינשטיין (נבו 25.12.2014); קנאי ורוזנברג, לעיל ה"ש 36, בעמ' 485.</w:t>
      </w:r>
    </w:p>
  </w:footnote>
  <w:footnote w:id="38">
    <w:p>
      <w:pPr>
        <w:bidi/>
        <w:spacing w:after="40" w:line="240"/>
        <w:jc w:val="both"/>
      </w:pPr>
      <w:r>
        <w:rPr>
          <w:rStyle w:val="FootnoteReference"/>
        </w:rPr>
        <w:footnoteRef/>
      </w:r>
      <w:r>
        <w:rPr>
          <w:rFonts w:ascii="David" w:cs="David" w:eastAsia="David" w:hAnsi="David"/>
          <w:i w:val="false"/>
          <w:smallCaps w:val="false"/>
          <w:sz w:val="20"/>
          <w:szCs w:val="20"/>
          <w:rtl/>
        </w:rPr>
        <w:t xml:space="preserve"> ע"פ 9818/01 </w:t>
      </w:r>
      <w:r>
        <w:rPr>
          <w:rFonts w:ascii="David" w:cs="David" w:eastAsia="David" w:hAnsi="David"/>
          <w:b/>
          <w:bCs/>
          <w:i w:val="false"/>
          <w:smallCaps w:val="false"/>
          <w:sz w:val="20"/>
          <w:szCs w:val="20"/>
          <w:rtl/>
        </w:rPr>
        <w:t xml:space="preserve">ביטון נ' סולטן</w:t>
      </w:r>
      <w:r>
        <w:rPr>
          <w:rFonts w:ascii="David" w:cs="David" w:eastAsia="David" w:hAnsi="David"/>
          <w:i w:val="false"/>
          <w:smallCaps w:val="false"/>
          <w:sz w:val="20"/>
          <w:szCs w:val="20"/>
          <w:rtl/>
        </w:rPr>
        <w:t xml:space="preserve">, פ"ד נט(6) 554, 579 (2005); קנאי ורוזנברג, לעיל ה"ש 36, בעמ' 484, 486 ה"ש 44.</w:t>
      </w:r>
    </w:p>
  </w:footnote>
  <w:footnote w:id="39">
    <w:p>
      <w:pPr>
        <w:bidi/>
        <w:spacing w:after="40" w:line="240"/>
        <w:jc w:val="both"/>
      </w:pPr>
      <w:r>
        <w:rPr>
          <w:rStyle w:val="FootnoteReference"/>
        </w:rPr>
        <w:footnoteRef/>
      </w:r>
      <w:r>
        <w:rPr>
          <w:rFonts w:ascii="David" w:cs="David" w:eastAsia="David" w:hAnsi="David"/>
          <w:i w:val="false"/>
          <w:smallCaps w:val="false"/>
          <w:sz w:val="20"/>
          <w:szCs w:val="20"/>
          <w:rtl/>
        </w:rPr>
        <w:t xml:space="preserve"> פרשת </w:t>
      </w:r>
      <w:r>
        <w:rPr>
          <w:rFonts w:ascii="David" w:cs="David" w:eastAsia="David" w:hAnsi="David"/>
          <w:b/>
          <w:bCs/>
          <w:i w:val="false"/>
          <w:smallCaps w:val="false"/>
          <w:sz w:val="20"/>
          <w:szCs w:val="20"/>
          <w:rtl/>
        </w:rPr>
        <w:t xml:space="preserve">תורת המלך</w:t>
      </w:r>
      <w:r>
        <w:rPr>
          <w:rFonts w:ascii="David" w:cs="David" w:eastAsia="David" w:hAnsi="David"/>
          <w:i w:val="false"/>
          <w:smallCaps w:val="false"/>
          <w:sz w:val="20"/>
          <w:szCs w:val="20"/>
          <w:rtl/>
        </w:rPr>
        <w:t xml:space="preserve">, לעיל ה"ש 28, פס' 24–25 לפסק דינו של השופט ג'ובראן.</w:t>
      </w:r>
    </w:p>
  </w:footnote>
  <w:footnote w:id="40">
    <w:p>
      <w:pPr>
        <w:bidi/>
        <w:spacing w:after="40" w:line="240"/>
        <w:jc w:val="both"/>
      </w:pPr>
      <w:r>
        <w:rPr>
          <w:rStyle w:val="FootnoteReference"/>
        </w:rPr>
        <w:footnoteRef/>
      </w:r>
      <w:r>
        <w:rPr>
          <w:rFonts w:ascii="David" w:cs="David" w:eastAsia="David" w:hAnsi="David"/>
          <w:i w:val="false"/>
          <w:smallCaps w:val="false"/>
          <w:sz w:val="20"/>
          <w:szCs w:val="20"/>
          <w:rtl/>
        </w:rPr>
        <w:t xml:space="preserve"> עניין </w:t>
      </w:r>
      <w:r>
        <w:rPr>
          <w:rFonts w:ascii="David" w:cs="David" w:eastAsia="David" w:hAnsi="David"/>
          <w:b/>
          <w:bCs/>
          <w:i w:val="false"/>
          <w:smallCaps w:val="false"/>
          <w:sz w:val="20"/>
          <w:szCs w:val="20"/>
          <w:rtl/>
        </w:rPr>
        <w:t xml:space="preserve">אלבה</w:t>
      </w:r>
      <w:r>
        <w:rPr>
          <w:rFonts w:ascii="David" w:cs="David" w:eastAsia="David" w:hAnsi="David"/>
          <w:i w:val="false"/>
          <w:smallCaps w:val="false"/>
          <w:sz w:val="20"/>
          <w:szCs w:val="20"/>
          <w:rtl/>
        </w:rPr>
        <w:t xml:space="preserve">, לעיל ה"ש 6, בעמ' 260.</w:t>
      </w:r>
    </w:p>
  </w:footnote>
  <w:footnote w:id="41">
    <w:p>
      <w:pPr>
        <w:bidi/>
        <w:spacing w:after="40" w:line="240"/>
        <w:jc w:val="both"/>
      </w:pPr>
      <w:r>
        <w:rPr>
          <w:rStyle w:val="FootnoteReference"/>
        </w:rPr>
        <w:footnoteRef/>
      </w:r>
      <w:r>
        <w:rPr>
          <w:rFonts w:ascii="David" w:cs="David" w:eastAsia="David" w:hAnsi="David"/>
          <w:i w:val="false"/>
          <w:smallCaps w:val="false"/>
          <w:sz w:val="20"/>
          <w:szCs w:val="20"/>
          <w:rtl/>
        </w:rPr>
        <w:t xml:space="preserve"> בג"ץ 73/53 </w:t>
      </w:r>
      <w:r>
        <w:rPr>
          <w:rFonts w:ascii="David" w:cs="David" w:eastAsia="David" w:hAnsi="David"/>
          <w:b/>
          <w:bCs/>
          <w:i w:val="false"/>
          <w:smallCaps w:val="false"/>
          <w:sz w:val="20"/>
          <w:szCs w:val="20"/>
          <w:rtl/>
        </w:rPr>
        <w:t xml:space="preserve">חברת "קול העם" בע"מ נ' שר הפנים</w:t>
      </w:r>
      <w:r>
        <w:rPr>
          <w:rFonts w:ascii="David" w:cs="David" w:eastAsia="David" w:hAnsi="David"/>
          <w:i w:val="false"/>
          <w:smallCaps w:val="false"/>
          <w:sz w:val="20"/>
          <w:szCs w:val="20"/>
          <w:rtl/>
        </w:rPr>
        <w:t xml:space="preserve">, פ"ד ז 871 (1953).</w:t>
      </w:r>
    </w:p>
  </w:footnote>
  <w:footnote w:id="42">
    <w:p>
      <w:pPr>
        <w:bidi/>
        <w:spacing w:after="40" w:line="240"/>
        <w:jc w:val="both"/>
      </w:pPr>
      <w:r>
        <w:rPr>
          <w:rStyle w:val="FootnoteReference"/>
        </w:rPr>
        <w:footnoteRef/>
      </w:r>
      <w:r>
        <w:rPr>
          <w:rFonts w:ascii="David" w:cs="David" w:eastAsia="David" w:hAnsi="David"/>
          <w:i w:val="false"/>
          <w:smallCaps w:val="false"/>
          <w:sz w:val="20"/>
          <w:szCs w:val="20"/>
          <w:rtl/>
        </w:rPr>
        <w:t xml:space="preserve"> עניין </w:t>
      </w:r>
      <w:r>
        <w:rPr>
          <w:rFonts w:ascii="David" w:cs="David" w:eastAsia="David" w:hAnsi="David"/>
          <w:b/>
          <w:bCs/>
          <w:i w:val="false"/>
          <w:smallCaps w:val="false"/>
          <w:sz w:val="20"/>
          <w:szCs w:val="20"/>
          <w:rtl/>
        </w:rPr>
        <w:t xml:space="preserve">אלבה</w:t>
      </w:r>
      <w:r>
        <w:rPr>
          <w:rFonts w:ascii="David" w:cs="David" w:eastAsia="David" w:hAnsi="David"/>
          <w:i w:val="false"/>
          <w:smallCaps w:val="false"/>
          <w:sz w:val="20"/>
          <w:szCs w:val="20"/>
          <w:rtl/>
        </w:rPr>
        <w:t xml:space="preserve">, לעיל ה"ש 6, בעמ' 267, 276.</w:t>
      </w:r>
    </w:p>
  </w:footnote>
  <w:footnote w:id="43">
    <w:p>
      <w:pPr>
        <w:bidi/>
        <w:spacing w:after="40" w:line="240"/>
        <w:jc w:val="both"/>
      </w:pPr>
      <w:r>
        <w:rPr>
          <w:rStyle w:val="FootnoteReference"/>
        </w:rPr>
        <w:footnoteRef/>
      </w:r>
      <w:r>
        <w:rPr>
          <w:rFonts w:ascii="David" w:cs="David" w:eastAsia="David" w:hAnsi="David"/>
          <w:i w:val="false"/>
          <w:smallCaps w:val="false"/>
          <w:sz w:val="20"/>
          <w:szCs w:val="20"/>
          <w:rtl/>
        </w:rPr>
        <w:t xml:space="preserve"> שם, בעמ' 294–296.</w:t>
      </w:r>
    </w:p>
  </w:footnote>
  <w:footnote w:id="44">
    <w:p>
      <w:pPr>
        <w:bidi/>
        <w:spacing w:after="40" w:line="240"/>
        <w:jc w:val="both"/>
      </w:pPr>
      <w:r>
        <w:rPr>
          <w:rStyle w:val="FootnoteReference"/>
        </w:rPr>
        <w:footnoteRef/>
      </w:r>
      <w:r>
        <w:rPr>
          <w:rFonts w:ascii="David" w:cs="David" w:eastAsia="David" w:hAnsi="David"/>
          <w:i w:val="false"/>
          <w:smallCaps w:val="false"/>
          <w:sz w:val="20"/>
          <w:szCs w:val="20"/>
          <w:rtl/>
        </w:rPr>
        <w:t xml:space="preserve"> אלון הראל "עבירות המגבילות את חופש הביטוי ומבחן 'אפשרות ממשית של נזק': חשיבה מחודשת" </w:t>
      </w:r>
      <w:r>
        <w:rPr>
          <w:rFonts w:ascii="David" w:cs="David" w:eastAsia="David" w:hAnsi="David"/>
          <w:b/>
          <w:bCs/>
          <w:i w:val="false"/>
          <w:smallCaps w:val="false"/>
          <w:sz w:val="20"/>
          <w:szCs w:val="20"/>
          <w:rtl/>
        </w:rPr>
        <w:t xml:space="preserve">משפטים</w:t>
      </w:r>
      <w:r>
        <w:rPr>
          <w:rFonts w:ascii="David" w:cs="David" w:eastAsia="David" w:hAnsi="David"/>
          <w:i w:val="false"/>
          <w:smallCaps w:val="false"/>
          <w:sz w:val="20"/>
          <w:szCs w:val="20"/>
          <w:rtl/>
        </w:rPr>
        <w:t xml:space="preserve"> ל 69 (1999); מרדכי קרמניצר וליאת לבנון-מורג "הגבלת חופש הביטוי בשל חשש לאלימות – על ערכים מוגנים ומבחני הסתברות בעבירות של הסתה להמרדה והסתה לאלימות, בעקבות פרשת כהנא" </w:t>
      </w:r>
      <w:r>
        <w:rPr>
          <w:rFonts w:ascii="David" w:cs="David" w:eastAsia="David" w:hAnsi="David"/>
          <w:b/>
          <w:bCs/>
          <w:i w:val="false"/>
          <w:smallCaps w:val="false"/>
          <w:sz w:val="20"/>
          <w:szCs w:val="20"/>
          <w:rtl/>
        </w:rPr>
        <w:t xml:space="preserve">משפט וממשל</w:t>
      </w:r>
      <w:r>
        <w:rPr>
          <w:rFonts w:ascii="David" w:cs="David" w:eastAsia="David" w:hAnsi="David"/>
          <w:i w:val="false"/>
          <w:smallCaps w:val="false"/>
          <w:sz w:val="20"/>
          <w:szCs w:val="20"/>
          <w:rtl/>
        </w:rPr>
        <w:t xml:space="preserve"> ז 305 (2004).</w:t>
      </w:r>
    </w:p>
  </w:footnote>
  <w:footnote w:id="45">
    <w:p>
      <w:pPr>
        <w:bidi/>
        <w:spacing w:after="40" w:line="240"/>
        <w:jc w:val="both"/>
      </w:pPr>
      <w:r>
        <w:rPr>
          <w:rStyle w:val="FootnoteReference"/>
        </w:rPr>
        <w:footnoteRef/>
      </w:r>
      <w:r>
        <w:rPr>
          <w:rFonts w:ascii="David" w:cs="David" w:eastAsia="David" w:hAnsi="David"/>
          <w:i w:val="false"/>
          <w:smallCaps w:val="false"/>
          <w:sz w:val="20"/>
          <w:szCs w:val="20"/>
          <w:rtl/>
        </w:rPr>
        <w:t xml:space="preserve"> ס' 8 ו-10 לחוק-יסוד: כבוד האדם וחירותו; גור-אריה, לעיל ה"ש 14, בעמ' 773.</w:t>
      </w:r>
    </w:p>
  </w:footnote>
  <w:footnote w:id="46">
    <w:p>
      <w:pPr>
        <w:bidi/>
        <w:spacing w:after="40" w:line="240"/>
        <w:jc w:val="both"/>
      </w:pPr>
      <w:r>
        <w:rPr>
          <w:rStyle w:val="FootnoteReference"/>
        </w:rPr>
        <w:footnoteRef/>
      </w:r>
      <w:r>
        <w:rPr>
          <w:rFonts w:ascii="David" w:cs="David" w:eastAsia="David" w:hAnsi="David"/>
          <w:i w:val="false"/>
          <w:smallCaps w:val="false"/>
          <w:sz w:val="20"/>
          <w:szCs w:val="20"/>
          <w:rtl/>
        </w:rPr>
        <w:t xml:space="preserve"> עניין </w:t>
      </w:r>
      <w:r>
        <w:rPr>
          <w:rFonts w:ascii="David" w:cs="David" w:eastAsia="David" w:hAnsi="David"/>
          <w:b/>
          <w:bCs/>
          <w:i w:val="false"/>
          <w:smallCaps w:val="false"/>
          <w:sz w:val="20"/>
          <w:szCs w:val="20"/>
          <w:rtl/>
        </w:rPr>
        <w:t xml:space="preserve">אלבה</w:t>
      </w:r>
      <w:r>
        <w:rPr>
          <w:rFonts w:ascii="David" w:cs="David" w:eastAsia="David" w:hAnsi="David"/>
          <w:i w:val="false"/>
          <w:smallCaps w:val="false"/>
          <w:sz w:val="20"/>
          <w:szCs w:val="20"/>
          <w:rtl/>
        </w:rPr>
        <w:t xml:space="preserve">, לעיל ה"ש 6, בעמ' 295–297.</w:t>
      </w:r>
    </w:p>
  </w:footnote>
  <w:footnote w:id="47">
    <w:p>
      <w:pPr>
        <w:bidi/>
        <w:spacing w:after="40" w:line="240"/>
        <w:jc w:val="both"/>
      </w:pPr>
      <w:r>
        <w:rPr>
          <w:rStyle w:val="FootnoteReference"/>
        </w:rPr>
        <w:footnoteRef/>
      </w:r>
      <w:r>
        <w:rPr>
          <w:rFonts w:ascii="David" w:cs="David" w:eastAsia="David" w:hAnsi="David"/>
          <w:i w:val="false"/>
          <w:smallCaps w:val="false"/>
          <w:sz w:val="20"/>
          <w:szCs w:val="20"/>
          <w:rtl/>
        </w:rPr>
        <w:t xml:space="preserve"> גור-אריה, לעיל ה"ש 14, בעמ' 765.</w:t>
      </w:r>
    </w:p>
  </w:footnote>
  <w:footnote w:id="48">
    <w:p>
      <w:pPr>
        <w:bidi w:val="false"/>
        <w:spacing w:after="40" w:line="240"/>
        <w:jc w:val="left"/>
      </w:pPr>
      <w:r>
        <w:rPr>
          <w:rStyle w:val="FootnoteReference"/>
        </w:rPr>
        <w:footnoteRef/>
      </w:r>
      <w:r>
        <w:rPr>
          <w:rFonts w:ascii="David" w:cs="David" w:eastAsia="David" w:hAnsi="David"/>
          <w:i w:val="false"/>
          <w:smallCaps w:val="false"/>
          <w:sz w:val="20"/>
          <w:szCs w:val="20"/>
          <w:rtl/>
        </w:rPr>
        <w:t xml:space="preserve"> </w:t>
      </w:r>
      <w:r>
        <w:rPr>
          <w:rFonts w:ascii="David" w:cs="David" w:eastAsia="David" w:hAnsi="David"/>
          <w:i/>
          <w:iCs/>
          <w:smallCaps w:val="false"/>
          <w:sz w:val="20"/>
          <w:szCs w:val="20"/>
          <w:rtl w:val="false"/>
        </w:rPr>
        <w:t xml:space="preserve">Brandenburg v. Ohio</w:t>
      </w:r>
      <w:r>
        <w:rPr>
          <w:rFonts w:ascii="David" w:cs="David" w:eastAsia="David" w:hAnsi="David"/>
          <w:i w:val="false"/>
          <w:smallCaps w:val="false"/>
          <w:sz w:val="20"/>
          <w:szCs w:val="20"/>
          <w:rtl w:val="false"/>
        </w:rPr>
        <w:t xml:space="preserve">, 395 U.S. 444 (1969).</w:t>
      </w:r>
    </w:p>
  </w:footnote>
  <w:footnote w:id="49">
    <w:p>
      <w:pPr>
        <w:bidi/>
        <w:spacing w:after="40" w:line="240"/>
        <w:jc w:val="both"/>
      </w:pPr>
      <w:r>
        <w:rPr>
          <w:rStyle w:val="FootnoteReference"/>
        </w:rPr>
        <w:footnoteRef/>
      </w:r>
      <w:r>
        <w:rPr>
          <w:rFonts w:ascii="David" w:cs="David" w:eastAsia="David" w:hAnsi="David"/>
          <w:i w:val="false"/>
          <w:smallCaps w:val="false"/>
          <w:sz w:val="20"/>
          <w:szCs w:val="20"/>
          <w:rtl/>
        </w:rPr>
        <w:t xml:space="preserve"> רובי סיבל "המאבק באנטישמיות והמשפט הבין-לאומי" </w:t>
      </w:r>
      <w:r>
        <w:rPr>
          <w:rFonts w:ascii="David" w:cs="David" w:eastAsia="David" w:hAnsi="David"/>
          <w:b/>
          <w:bCs/>
          <w:i w:val="false"/>
          <w:smallCaps w:val="false"/>
          <w:sz w:val="20"/>
          <w:szCs w:val="20"/>
          <w:rtl/>
        </w:rPr>
        <w:t xml:space="preserve">משפט ועסקים</w:t>
      </w:r>
      <w:r>
        <w:rPr>
          <w:rFonts w:ascii="David" w:cs="David" w:eastAsia="David" w:hAnsi="David"/>
          <w:i w:val="false"/>
          <w:smallCaps w:val="false"/>
          <w:sz w:val="20"/>
          <w:szCs w:val="20"/>
          <w:rtl/>
        </w:rPr>
        <w:t xml:space="preserve"> כה 43, 52–53 (2022).</w:t>
      </w:r>
    </w:p>
  </w:footnote>
  <w:footnote w:id="50">
    <w:p>
      <w:pPr>
        <w:bidi/>
        <w:spacing w:after="40" w:line="240"/>
        <w:jc w:val="both"/>
      </w:pPr>
      <w:r>
        <w:rPr>
          <w:rStyle w:val="FootnoteReference"/>
        </w:rPr>
        <w:footnoteRef/>
      </w:r>
      <w:r>
        <w:rPr>
          <w:rFonts w:ascii="David" w:cs="David" w:eastAsia="David" w:hAnsi="David"/>
          <w:i w:val="false"/>
          <w:smallCaps w:val="false"/>
          <w:sz w:val="20"/>
          <w:szCs w:val="20"/>
          <w:rtl/>
        </w:rPr>
        <w:t xml:space="preserve"> </w:t>
      </w:r>
      <w:r>
        <w:rPr>
          <w:rFonts w:ascii="David" w:cs="David" w:eastAsia="David" w:hAnsi="David"/>
          <w:i/>
          <w:iCs/>
          <w:smallCaps w:val="false"/>
          <w:sz w:val="20"/>
          <w:szCs w:val="20"/>
          <w:rtl w:val="false"/>
        </w:rPr>
        <w:t xml:space="preserve">Erbakan v. Turkey</w:t>
      </w:r>
      <w:r>
        <w:rPr>
          <w:rFonts w:ascii="David" w:cs="David" w:eastAsia="David" w:hAnsi="David"/>
          <w:i w:val="false"/>
          <w:smallCaps w:val="false"/>
          <w:sz w:val="20"/>
          <w:szCs w:val="20"/>
          <w:rtl/>
        </w:rPr>
        <w:t xml:space="preserve">, App. No. 59405/00 (Eur. Ct. H.R. 2006); גור-אריה, לעיל ה"ש 14, בעמ' 765–766 ה"ש 26.</w:t>
      </w:r>
    </w:p>
  </w:footnote>
  <w:footnote w:id="51">
    <w:p>
      <w:pPr>
        <w:bidi/>
        <w:spacing w:after="40" w:line="240"/>
        <w:jc w:val="both"/>
      </w:pPr>
      <w:r>
        <w:rPr>
          <w:rStyle w:val="FootnoteReference"/>
        </w:rPr>
        <w:footnoteRef/>
      </w:r>
      <w:r>
        <w:rPr>
          <w:rFonts w:ascii="David" w:cs="David" w:eastAsia="David" w:hAnsi="David"/>
          <w:i w:val="false"/>
          <w:smallCaps w:val="false"/>
          <w:sz w:val="20"/>
          <w:szCs w:val="20"/>
          <w:rtl/>
        </w:rPr>
        <w:t xml:space="preserve"> </w:t>
      </w:r>
      <w:r>
        <w:rPr>
          <w:rFonts w:ascii="David" w:cs="David" w:eastAsia="David" w:hAnsi="David"/>
          <w:i/>
          <w:iCs/>
          <w:smallCaps w:val="false"/>
          <w:sz w:val="20"/>
          <w:szCs w:val="20"/>
          <w:rtl w:val="false"/>
        </w:rPr>
        <w:t xml:space="preserve">Perinçek v. Switzerland</w:t>
      </w:r>
      <w:r>
        <w:rPr>
          <w:rFonts w:ascii="David" w:cs="David" w:eastAsia="David" w:hAnsi="David"/>
          <w:i w:val="false"/>
          <w:smallCaps w:val="false"/>
          <w:sz w:val="20"/>
          <w:szCs w:val="20"/>
          <w:rtl/>
        </w:rPr>
        <w:t xml:space="preserve">, 2015-VI Eur. Ct. H.R. 181; גור-אריה, לעיל ה"ש 14, בעמ' 766.</w:t>
      </w:r>
    </w:p>
  </w:footnote>
  <w:footnote w:id="52">
    <w:p>
      <w:pPr>
        <w:bidi w:val="false"/>
        <w:spacing w:after="40" w:line="240"/>
        <w:jc w:val="left"/>
      </w:pPr>
      <w:r>
        <w:rPr>
          <w:rStyle w:val="FootnoteReference"/>
        </w:rPr>
        <w:footnoteRef/>
      </w:r>
      <w:r>
        <w:rPr>
          <w:rFonts w:ascii="David" w:cs="David" w:eastAsia="David" w:hAnsi="David"/>
          <w:i w:val="false"/>
          <w:smallCaps w:val="false"/>
          <w:sz w:val="20"/>
          <w:szCs w:val="20"/>
          <w:rtl/>
        </w:rPr>
        <w:t xml:space="preserve"> </w:t>
      </w:r>
      <w:r>
        <w:rPr>
          <w:rFonts w:ascii="David" w:cs="David" w:eastAsia="David" w:hAnsi="David"/>
          <w:i/>
          <w:iCs/>
          <w:smallCaps w:val="false"/>
          <w:sz w:val="20"/>
          <w:szCs w:val="20"/>
          <w:rtl w:val="false"/>
        </w:rPr>
        <w:t xml:space="preserve">R. v. Keegstra</w:t>
      </w:r>
      <w:r>
        <w:rPr>
          <w:rFonts w:ascii="David" w:cs="David" w:eastAsia="David" w:hAnsi="David"/>
          <w:i w:val="false"/>
          <w:smallCaps w:val="false"/>
          <w:sz w:val="20"/>
          <w:szCs w:val="20"/>
          <w:rtl w:val="false"/>
        </w:rPr>
        <w:t xml:space="preserve">, [1990] 3 S.C.R. 697.</w:t>
      </w:r>
    </w:p>
  </w:footnote>
  <w:footnote w:id="53">
    <w:p>
      <w:pPr>
        <w:bidi/>
        <w:spacing w:after="40" w:line="240"/>
        <w:jc w:val="both"/>
      </w:pPr>
      <w:r>
        <w:rPr>
          <w:rStyle w:val="FootnoteReference"/>
        </w:rPr>
        <w:footnoteRef/>
      </w:r>
      <w:r>
        <w:rPr>
          <w:rFonts w:ascii="David" w:cs="David" w:eastAsia="David" w:hAnsi="David"/>
          <w:i w:val="false"/>
          <w:smallCaps w:val="false"/>
          <w:sz w:val="20"/>
          <w:szCs w:val="20"/>
          <w:rtl/>
        </w:rPr>
        <w:t xml:space="preserve"> חוק איסור הכחשת השואה, התשמ"ו–1986; גור-אריה, לעיל ה"ש 14, בעמ' 767.</w:t>
      </w:r>
    </w:p>
  </w:footnote>
  <w:footnote w:id="54">
    <w:p>
      <w:pPr>
        <w:bidi w:val="false"/>
        <w:spacing w:after="40" w:line="240"/>
        <w:jc w:val="left"/>
      </w:pPr>
      <w:r>
        <w:rPr>
          <w:rStyle w:val="FootnoteReference"/>
        </w:rPr>
        <w:footnoteRef/>
      </w:r>
      <w:r>
        <w:rPr>
          <w:rFonts w:ascii="David" w:cs="David" w:eastAsia="David" w:hAnsi="David"/>
          <w:i w:val="false"/>
          <w:smallCaps w:val="false"/>
          <w:sz w:val="20"/>
          <w:szCs w:val="20"/>
          <w:rtl/>
        </w:rPr>
        <w:t xml:space="preserve"> </w:t>
      </w:r>
      <w:r>
        <w:rPr>
          <w:rFonts w:ascii="David" w:cs="David" w:eastAsia="David" w:hAnsi="David"/>
          <w:i w:val="false"/>
          <w:smallCaps/>
          <w:sz w:val="20"/>
          <w:szCs w:val="20"/>
          <w:rtl w:val="false"/>
        </w:rPr>
        <w:t xml:space="preserve">Jeremy Waldron, The Harm in Hate Speech</w:t>
      </w:r>
      <w:r>
        <w:rPr>
          <w:rFonts w:ascii="David" w:cs="David" w:eastAsia="David" w:hAnsi="David"/>
          <w:i w:val="false"/>
          <w:smallCaps w:val="false"/>
          <w:sz w:val="20"/>
          <w:szCs w:val="20"/>
          <w:rtl/>
        </w:rPr>
        <w:t xml:space="preserve"> (2012).</w:t>
      </w:r>
    </w:p>
  </w:footnote>
  <w:footnote w:id="55">
    <w:p>
      <w:pPr>
        <w:bidi/>
        <w:spacing w:after="40" w:line="240"/>
        <w:jc w:val="both"/>
      </w:pPr>
      <w:r>
        <w:rPr>
          <w:rStyle w:val="FootnoteReference"/>
        </w:rPr>
        <w:footnoteRef/>
      </w:r>
      <w:r>
        <w:rPr>
          <w:rFonts w:ascii="David" w:cs="David" w:eastAsia="David" w:hAnsi="David"/>
          <w:i w:val="false"/>
          <w:smallCaps w:val="false"/>
          <w:sz w:val="20"/>
          <w:szCs w:val="20"/>
          <w:rtl/>
        </w:rPr>
        <w:t xml:space="preserve"> מרשק-מרום, לעיל ה"ש 5, בעמ' 571.</w:t>
      </w:r>
    </w:p>
  </w:footnote>
  <w:footnote w:id="56">
    <w:p>
      <w:pPr>
        <w:bidi/>
        <w:spacing w:after="40" w:line="240"/>
        <w:jc w:val="both"/>
      </w:pPr>
      <w:r>
        <w:rPr>
          <w:rStyle w:val="FootnoteReference"/>
        </w:rPr>
        <w:footnoteRef/>
      </w:r>
      <w:r>
        <w:rPr>
          <w:rFonts w:ascii="David" w:cs="David" w:eastAsia="David" w:hAnsi="David"/>
          <w:i w:val="false"/>
          <w:smallCaps w:val="false"/>
          <w:sz w:val="20"/>
          <w:szCs w:val="20"/>
          <w:rtl/>
        </w:rPr>
        <w:t xml:space="preserve"> אליקים רובינשטיין "על חופש הביטוי ועל מדיניות התביעה בעבירות של הסתה לאלימות" </w:t>
      </w:r>
      <w:r>
        <w:rPr>
          <w:rFonts w:ascii="David" w:cs="David" w:eastAsia="David" w:hAnsi="David"/>
          <w:b/>
          <w:bCs/>
          <w:i w:val="false"/>
          <w:smallCaps w:val="false"/>
          <w:sz w:val="20"/>
          <w:szCs w:val="20"/>
          <w:rtl/>
        </w:rPr>
        <w:t xml:space="preserve">הפרקליט</w:t>
      </w:r>
      <w:r>
        <w:rPr>
          <w:rFonts w:ascii="David" w:cs="David" w:eastAsia="David" w:hAnsi="David"/>
          <w:i w:val="false"/>
          <w:smallCaps w:val="false"/>
          <w:sz w:val="20"/>
          <w:szCs w:val="20"/>
          <w:rtl/>
        </w:rPr>
        <w:t xml:space="preserve"> מד 5, 10 (1998); עניין </w:t>
      </w:r>
      <w:r>
        <w:rPr>
          <w:rFonts w:ascii="David" w:cs="David" w:eastAsia="David" w:hAnsi="David"/>
          <w:b/>
          <w:bCs/>
          <w:i w:val="false"/>
          <w:smallCaps w:val="false"/>
          <w:sz w:val="20"/>
          <w:szCs w:val="20"/>
          <w:rtl/>
        </w:rPr>
        <w:t xml:space="preserve">סלאח</w:t>
      </w:r>
      <w:r>
        <w:rPr>
          <w:rFonts w:ascii="David" w:cs="David" w:eastAsia="David" w:hAnsi="David"/>
          <w:i w:val="false"/>
          <w:smallCaps w:val="false"/>
          <w:sz w:val="20"/>
          <w:szCs w:val="20"/>
          <w:rtl/>
        </w:rPr>
        <w:t xml:space="preserve">, לעיל ה"ש 23, פס' נז.</w:t>
      </w:r>
    </w:p>
  </w:footnote>
  <w:footnote w:id="57">
    <w:p>
      <w:pPr>
        <w:bidi/>
        <w:spacing w:after="40" w:line="240"/>
        <w:jc w:val="both"/>
      </w:pPr>
      <w:r>
        <w:rPr>
          <w:rStyle w:val="FootnoteReference"/>
        </w:rPr>
        <w:footnoteRef/>
      </w:r>
      <w:r>
        <w:rPr>
          <w:rFonts w:ascii="David" w:cs="David" w:eastAsia="David" w:hAnsi="David"/>
          <w:i w:val="false"/>
          <w:smallCaps w:val="false"/>
          <w:sz w:val="20"/>
          <w:szCs w:val="20"/>
          <w:rtl/>
        </w:rPr>
        <w:t xml:space="preserve"> פרשת </w:t>
      </w:r>
      <w:r>
        <w:rPr>
          <w:rFonts w:ascii="David" w:cs="David" w:eastAsia="David" w:hAnsi="David"/>
          <w:b/>
          <w:bCs/>
          <w:i w:val="false"/>
          <w:smallCaps w:val="false"/>
          <w:sz w:val="20"/>
          <w:szCs w:val="20"/>
          <w:rtl/>
        </w:rPr>
        <w:t xml:space="preserve">תורת המלך</w:t>
      </w:r>
      <w:r>
        <w:rPr>
          <w:rFonts w:ascii="David" w:cs="David" w:eastAsia="David" w:hAnsi="David"/>
          <w:i w:val="false"/>
          <w:smallCaps w:val="false"/>
          <w:sz w:val="20"/>
          <w:szCs w:val="20"/>
          <w:rtl/>
        </w:rPr>
        <w:t xml:space="preserve">, לעיל ה"ש 28.</w:t>
      </w:r>
    </w:p>
  </w:footnote>
  <w:footnote w:id="58">
    <w:p>
      <w:pPr>
        <w:bidi/>
        <w:spacing w:after="40" w:line="240"/>
        <w:jc w:val="both"/>
      </w:pPr>
      <w:r>
        <w:rPr>
          <w:rStyle w:val="FootnoteReference"/>
        </w:rPr>
        <w:footnoteRef/>
      </w:r>
      <w:r>
        <w:rPr>
          <w:rFonts w:ascii="David" w:cs="David" w:eastAsia="David" w:hAnsi="David"/>
          <w:i w:val="false"/>
          <w:smallCaps w:val="false"/>
          <w:sz w:val="20"/>
          <w:szCs w:val="20"/>
          <w:rtl/>
        </w:rPr>
        <w:t xml:space="preserve"> עניין </w:t>
      </w:r>
      <w:r>
        <w:rPr>
          <w:rFonts w:ascii="David" w:cs="David" w:eastAsia="David" w:hAnsi="David"/>
          <w:b/>
          <w:bCs/>
          <w:i w:val="false"/>
          <w:smallCaps w:val="false"/>
          <w:sz w:val="20"/>
          <w:szCs w:val="20"/>
          <w:rtl/>
        </w:rPr>
        <w:t xml:space="preserve">אלבה</w:t>
      </w:r>
      <w:r>
        <w:rPr>
          <w:rFonts w:ascii="David" w:cs="David" w:eastAsia="David" w:hAnsi="David"/>
          <w:i w:val="false"/>
          <w:smallCaps w:val="false"/>
          <w:sz w:val="20"/>
          <w:szCs w:val="20"/>
          <w:rtl/>
        </w:rPr>
        <w:t xml:space="preserve">, לעיל ה"ש 6, בעמ' 305.</w:t>
      </w:r>
    </w:p>
  </w:footnote>
  <w:footnote w:id="59">
    <w:p>
      <w:pPr>
        <w:bidi/>
        <w:spacing w:after="40" w:line="240"/>
        <w:jc w:val="both"/>
      </w:pPr>
      <w:r>
        <w:rPr>
          <w:rStyle w:val="FootnoteReference"/>
        </w:rPr>
        <w:footnoteRef/>
      </w:r>
      <w:r>
        <w:rPr>
          <w:rFonts w:ascii="David" w:cs="David" w:eastAsia="David" w:hAnsi="David"/>
          <w:i w:val="false"/>
          <w:smallCaps w:val="false"/>
          <w:sz w:val="20"/>
          <w:szCs w:val="20"/>
          <w:rtl/>
        </w:rPr>
        <w:t xml:space="preserve"> גור-אריה, לעיל ה"ש 14, בעמ' 768–769; דנ"פ 1397/03 </w:t>
      </w:r>
      <w:r>
        <w:rPr>
          <w:rFonts w:ascii="David" w:cs="David" w:eastAsia="David" w:hAnsi="David"/>
          <w:b/>
          <w:bCs/>
          <w:i w:val="false"/>
          <w:smallCaps w:val="false"/>
          <w:sz w:val="20"/>
          <w:szCs w:val="20"/>
          <w:rtl/>
        </w:rPr>
        <w:t xml:space="preserve">מדינת ישראל נ' שבח</w:t>
      </w:r>
      <w:r>
        <w:rPr>
          <w:rFonts w:ascii="David" w:cs="David" w:eastAsia="David" w:hAnsi="David"/>
          <w:i w:val="false"/>
          <w:smallCaps w:val="false"/>
          <w:sz w:val="20"/>
          <w:szCs w:val="20"/>
          <w:rtl/>
        </w:rPr>
        <w:t xml:space="preserve">, פ"ד נט(4) 385 (2004).</w:t>
      </w:r>
    </w:p>
  </w:footnote>
  <w:footnote w:id="60">
    <w:p>
      <w:pPr>
        <w:bidi/>
        <w:spacing w:after="40" w:line="240"/>
        <w:jc w:val="both"/>
      </w:pPr>
      <w:r>
        <w:rPr>
          <w:rStyle w:val="FootnoteReference"/>
        </w:rPr>
        <w:footnoteRef/>
      </w:r>
      <w:r>
        <w:rPr>
          <w:rFonts w:ascii="David" w:cs="David" w:eastAsia="David" w:hAnsi="David"/>
          <w:i w:val="false"/>
          <w:smallCaps w:val="false"/>
          <w:sz w:val="20"/>
          <w:szCs w:val="20"/>
          <w:rtl/>
        </w:rPr>
        <w:t xml:space="preserve"> פרשת </w:t>
      </w:r>
      <w:r>
        <w:rPr>
          <w:rFonts w:ascii="David" w:cs="David" w:eastAsia="David" w:hAnsi="David"/>
          <w:b/>
          <w:bCs/>
          <w:i w:val="false"/>
          <w:smallCaps w:val="false"/>
          <w:sz w:val="20"/>
          <w:szCs w:val="20"/>
          <w:rtl/>
        </w:rPr>
        <w:t xml:space="preserve">תורת המלך</w:t>
      </w:r>
      <w:r>
        <w:rPr>
          <w:rFonts w:ascii="David" w:cs="David" w:eastAsia="David" w:hAnsi="David"/>
          <w:i w:val="false"/>
          <w:smallCaps w:val="false"/>
          <w:sz w:val="20"/>
          <w:szCs w:val="20"/>
          <w:rtl/>
        </w:rPr>
        <w:t xml:space="preserve">, לעיל ה"ש 28, פס' 24 לפסק דינו של השופט ג'ובראן; מרדכי קרמניצר "פרשת אלבה: בירור הלכות הסתה לגזענות" </w:t>
      </w:r>
      <w:r>
        <w:rPr>
          <w:rFonts w:ascii="David" w:cs="David" w:eastAsia="David" w:hAnsi="David"/>
          <w:b/>
          <w:bCs/>
          <w:i w:val="false"/>
          <w:smallCaps w:val="false"/>
          <w:sz w:val="20"/>
          <w:szCs w:val="20"/>
          <w:rtl/>
        </w:rPr>
        <w:t xml:space="preserve">משפטים</w:t>
      </w:r>
      <w:r>
        <w:rPr>
          <w:rFonts w:ascii="David" w:cs="David" w:eastAsia="David" w:hAnsi="David"/>
          <w:i w:val="false"/>
          <w:smallCaps w:val="false"/>
          <w:sz w:val="20"/>
          <w:szCs w:val="20"/>
          <w:rtl/>
        </w:rPr>
        <w:t xml:space="preserve"> ל 105, 131 (1999).</w:t>
      </w:r>
    </w:p>
  </w:footnote>
  <w:footnote w:id="61">
    <w:p>
      <w:pPr>
        <w:bidi/>
        <w:spacing w:after="40" w:line="240"/>
        <w:jc w:val="both"/>
      </w:pPr>
      <w:r>
        <w:rPr>
          <w:rStyle w:val="FootnoteReference"/>
        </w:rPr>
        <w:footnoteRef/>
      </w:r>
      <w:r>
        <w:rPr>
          <w:rFonts w:ascii="David" w:cs="David" w:eastAsia="David" w:hAnsi="David"/>
          <w:i w:val="false"/>
          <w:smallCaps w:val="false"/>
          <w:sz w:val="20"/>
          <w:szCs w:val="20"/>
          <w:rtl/>
        </w:rPr>
        <w:t xml:space="preserve"> ס' 34כא לחוק העונשין.</w:t>
      </w:r>
    </w:p>
  </w:footnote>
  <w:footnote w:id="62">
    <w:p>
      <w:pPr>
        <w:bidi/>
        <w:spacing w:after="40" w:line="240"/>
        <w:jc w:val="both"/>
      </w:pPr>
      <w:r>
        <w:rPr>
          <w:rStyle w:val="FootnoteReference"/>
        </w:rPr>
        <w:footnoteRef/>
      </w:r>
      <w:r>
        <w:rPr>
          <w:rFonts w:ascii="David" w:cs="David" w:eastAsia="David" w:hAnsi="David"/>
          <w:i w:val="false"/>
          <w:smallCaps w:val="false"/>
          <w:sz w:val="20"/>
          <w:szCs w:val="20"/>
          <w:rtl/>
        </w:rPr>
        <w:t xml:space="preserve"> פרשת </w:t>
      </w:r>
      <w:r>
        <w:rPr>
          <w:rFonts w:ascii="David" w:cs="David" w:eastAsia="David" w:hAnsi="David"/>
          <w:b/>
          <w:bCs/>
          <w:i w:val="false"/>
          <w:smallCaps w:val="false"/>
          <w:sz w:val="20"/>
          <w:szCs w:val="20"/>
          <w:rtl/>
        </w:rPr>
        <w:t xml:space="preserve">תורת המלך</w:t>
      </w:r>
      <w:r>
        <w:rPr>
          <w:rFonts w:ascii="David" w:cs="David" w:eastAsia="David" w:hAnsi="David"/>
          <w:i w:val="false"/>
          <w:smallCaps w:val="false"/>
          <w:sz w:val="20"/>
          <w:szCs w:val="20"/>
          <w:rtl/>
        </w:rPr>
        <w:t xml:space="preserve">, לעיל ה"ש 28, פס' 13 לפסק דינו של השופט ג'ובראן; מרשק-מרום, לעיל ה"ש 5, בעמ' 573.</w:t>
      </w:r>
    </w:p>
  </w:footnote>
  <w:footnote w:id="63">
    <w:p>
      <w:pPr>
        <w:bidi/>
        <w:spacing w:after="40" w:line="240"/>
        <w:jc w:val="both"/>
      </w:pPr>
      <w:r>
        <w:rPr>
          <w:rStyle w:val="FootnoteReference"/>
        </w:rPr>
        <w:footnoteRef/>
      </w:r>
      <w:r>
        <w:rPr>
          <w:rFonts w:ascii="David" w:cs="David" w:eastAsia="David" w:hAnsi="David"/>
          <w:i w:val="false"/>
          <w:smallCaps w:val="false"/>
          <w:sz w:val="20"/>
          <w:szCs w:val="20"/>
          <w:rtl/>
        </w:rPr>
        <w:t xml:space="preserve"> עניין </w:t>
      </w:r>
      <w:r>
        <w:rPr>
          <w:rFonts w:ascii="David" w:cs="David" w:eastAsia="David" w:hAnsi="David"/>
          <w:b/>
          <w:bCs/>
          <w:i w:val="false"/>
          <w:smallCaps w:val="false"/>
          <w:sz w:val="20"/>
          <w:szCs w:val="20"/>
          <w:rtl/>
        </w:rPr>
        <w:t xml:space="preserve">אלבה</w:t>
      </w:r>
      <w:r>
        <w:rPr>
          <w:rFonts w:ascii="David" w:cs="David" w:eastAsia="David" w:hAnsi="David"/>
          <w:i w:val="false"/>
          <w:smallCaps w:val="false"/>
          <w:sz w:val="20"/>
          <w:szCs w:val="20"/>
          <w:rtl/>
        </w:rPr>
        <w:t xml:space="preserve">, לעיל ה"ש 6, בעמ' 264.</w:t>
      </w:r>
    </w:p>
  </w:footnote>
  <w:footnote w:id="64">
    <w:p>
      <w:pPr>
        <w:bidi/>
        <w:spacing w:after="40" w:line="240"/>
        <w:jc w:val="both"/>
      </w:pPr>
      <w:r>
        <w:rPr>
          <w:rStyle w:val="FootnoteReference"/>
        </w:rPr>
        <w:footnoteRef/>
      </w:r>
      <w:r>
        <w:rPr>
          <w:rFonts w:ascii="David" w:cs="David" w:eastAsia="David" w:hAnsi="David"/>
          <w:i w:val="false"/>
          <w:smallCaps w:val="false"/>
          <w:sz w:val="20"/>
          <w:szCs w:val="20"/>
          <w:rtl/>
        </w:rPr>
        <w:t xml:space="preserve"> א"ב 1806/19 </w:t>
      </w:r>
      <w:r>
        <w:rPr>
          <w:rFonts w:ascii="David" w:cs="David" w:eastAsia="David" w:hAnsi="David"/>
          <w:b/>
          <w:bCs/>
          <w:i w:val="false"/>
          <w:smallCaps w:val="false"/>
          <w:sz w:val="20"/>
          <w:szCs w:val="20"/>
          <w:rtl/>
        </w:rPr>
        <w:t xml:space="preserve">ועדת הבחירות המרכזית לכנסת ה-21 נ' כסיף</w:t>
      </w:r>
      <w:r>
        <w:rPr>
          <w:rFonts w:ascii="David" w:cs="David" w:eastAsia="David" w:hAnsi="David"/>
          <w:i w:val="false"/>
          <w:smallCaps w:val="false"/>
          <w:sz w:val="20"/>
          <w:szCs w:val="20"/>
          <w:rtl/>
        </w:rPr>
        <w:t xml:space="preserve"> (נבו 18.7.2019).</w:t>
      </w:r>
    </w:p>
  </w:footnote>
  <w:footnote w:id="65">
    <w:p>
      <w:pPr>
        <w:bidi/>
        <w:spacing w:after="40" w:line="240"/>
        <w:jc w:val="both"/>
      </w:pPr>
      <w:r>
        <w:rPr>
          <w:rStyle w:val="FootnoteReference"/>
        </w:rPr>
        <w:footnoteRef/>
      </w:r>
      <w:r>
        <w:rPr>
          <w:rFonts w:ascii="David" w:cs="David" w:eastAsia="David" w:hAnsi="David"/>
          <w:i w:val="false"/>
          <w:smallCaps w:val="false"/>
          <w:sz w:val="20"/>
          <w:szCs w:val="20"/>
          <w:rtl/>
        </w:rPr>
        <w:t xml:space="preserve"> דוד א' פרנקל וצבי פרנקל </w:t>
      </w:r>
      <w:r>
        <w:rPr>
          <w:rFonts w:ascii="David" w:cs="David" w:eastAsia="David" w:hAnsi="David"/>
          <w:b/>
          <w:bCs/>
          <w:i w:val="false"/>
          <w:smallCaps w:val="false"/>
          <w:sz w:val="20"/>
          <w:szCs w:val="20"/>
          <w:rtl/>
        </w:rPr>
        <w:t xml:space="preserve">דיני עמותות בישראל</w:t>
      </w:r>
      <w:r>
        <w:rPr>
          <w:rFonts w:ascii="David" w:cs="David" w:eastAsia="David" w:hAnsi="David"/>
          <w:i w:val="false"/>
          <w:smallCaps w:val="false"/>
          <w:sz w:val="20"/>
          <w:szCs w:val="20"/>
          <w:rtl/>
        </w:rPr>
        <w:t xml:space="preserve"> פרק א (2025).</w:t>
      </w:r>
    </w:p>
  </w:footnote>
  <w:footnote w:id="66">
    <w:p>
      <w:pPr>
        <w:bidi/>
        <w:spacing w:after="40" w:line="240"/>
        <w:jc w:val="both"/>
      </w:pPr>
      <w:r>
        <w:rPr>
          <w:rStyle w:val="FootnoteReference"/>
        </w:rPr>
        <w:footnoteRef/>
      </w:r>
      <w:r>
        <w:rPr>
          <w:rFonts w:ascii="David" w:cs="David" w:eastAsia="David" w:hAnsi="David"/>
          <w:i w:val="false"/>
          <w:smallCaps w:val="false"/>
          <w:sz w:val="20"/>
          <w:szCs w:val="20"/>
          <w:rtl/>
        </w:rPr>
        <w:t xml:space="preserve"> סיבל, לעיל ה"ש 49.</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hideSpellingErrors/>
  <w:hideGrammaticalErrors/>
  <w:evenAndOddHeaders w:val="false"/>
  <w:updateFields/>
  <w:compat>
    <w:compatSetting w:val="15" w:name="compatibilityMode" w:uri="http://schemas.microsoft.com/office/word"/>
  </w:compat>
  <w:themeFontLang w:val="en-US"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noProof/>
        <w:sz w:val="24"/>
        <w:szCs w:val="24"/>
        <w:lang w:val="en-US" w:eastAsia="en-US" w:bidi="he-I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David" w:cs="David" w:eastAsia="David" w:hAnsi="David"/>
      <w:b/>
      <w:bCs/>
      <w:color w:val="000000"/>
      <w:sz w:val="28"/>
      <w:szCs w:val="28"/>
    </w:rPr>
  </w:style>
  <w:style w:type="paragraph" w:styleId="Heading2">
    <w:name w:val="Heading 2"/>
    <w:basedOn w:val="Normal"/>
    <w:next w:val="Normal"/>
    <w:qFormat/>
    <w:pPr>
      <w:spacing w:after="120" w:before="160"/>
      <w:outlineLvl w:val="1"/>
    </w:pPr>
    <w:rPr>
      <w:rFonts w:ascii="David" w:cs="David" w:eastAsia="David" w:hAnsi="David"/>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עבירת ההסתה לגזענות</dc:title>
  <dc:creator>student</dc:creator>
  <cp:lastModifiedBy>Un-named</cp:lastModifiedBy>
  <cp:revision>1</cp:revision>
  <dcterms:created xsi:type="dcterms:W3CDTF">2026-09-24T22:48:20.328Z</dcterms:created>
  <dcterms:modified xsi:type="dcterms:W3CDTF">2026-09-24T22:48:20.328Z</dcterms:modified>
</cp:coreProperties>
</file>

<file path=docProps/custom.xml><?xml version="1.0" encoding="utf-8"?>
<Properties xmlns="http://schemas.openxmlformats.org/officeDocument/2006/custom-properties" xmlns:vt="http://schemas.openxmlformats.org/officeDocument/2006/docPropsVTypes"/>
</file>