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40" w:before="0"/>
        <w:jc w:val="center"/>
      </w:pPr>
      <w:r>
        <w:rPr>
          <w:rFonts w:ascii="David" w:hAnsi="David" w:cs="David"/>
          <w:b/>
          <w:sz w:val="24"/>
          <w:szCs w:val="24"/>
          <w:rtl w:val="1"/>
          <w:bCs/>
        </w:rPr>
        <w:t>המסלול האקדמי, המכללה למנהל</w:t>
      </w:r>
    </w:p>
    <w:p>
      <w:pPr>
        <w:bidi/>
        <w:spacing w:line="360" w:lineRule="auto" w:after="40" w:before="0"/>
        <w:jc w:val="center"/>
      </w:pPr>
      <w:r>
        <w:rPr>
          <w:rFonts w:ascii="David" w:hAnsi="David" w:cs="David"/>
          <w:b w:val="0"/>
          <w:sz w:val="24"/>
          <w:szCs w:val="24"/>
          <w:rtl w:val="1"/>
        </w:rPr>
        <w:t>בית הספר לחינוך</w:t>
      </w:r>
    </w:p>
    <w:p>
      <w:pPr>
        <w:bidi/>
        <w:spacing w:line="360" w:lineRule="auto" w:after="40" w:before="0"/>
        <w:jc w:val="center"/>
      </w:pPr>
      <w:r>
        <w:rPr>
          <w:rFonts w:ascii="David" w:hAnsi="David" w:cs="David"/>
          <w:b w:val="0"/>
          <w:sz w:val="24"/>
          <w:szCs w:val="24"/>
          <w:rtl w:val="1"/>
        </w:rPr>
        <w:t>הקורס: כתיבה ואוריינות אקדמית ב'</w:t>
      </w:r>
    </w:p>
    <w:p>
      <w:pPr>
        <w:bidi/>
        <w:spacing w:line="360" w:lineRule="auto" w:after="40" w:before="0"/>
        <w:jc w:val="center"/>
      </w:pPr>
      <w:r>
        <w:rPr>
          <w:rFonts w:ascii="David" w:hAnsi="David" w:cs="David"/>
          <w:b w:val="0"/>
          <w:sz w:val="24"/>
          <w:szCs w:val="24"/>
          <w:rtl w:val="1"/>
        </w:rPr>
        <w:t>מנחה: ד"ר טל יעקבי</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120" w:before="0"/>
        <w:jc w:val="center"/>
      </w:pPr>
      <w:r>
        <w:rPr>
          <w:rFonts w:ascii="David" w:hAnsi="David" w:cs="David"/>
          <w:b/>
          <w:sz w:val="36"/>
          <w:szCs w:val="36"/>
          <w:rtl w:val="1"/>
          <w:bCs/>
        </w:rPr>
        <w:t>רשתות חברתיות והישגים לימודיים</w:t>
      </w:r>
    </w:p>
    <w:p>
      <w:pPr>
        <w:bidi/>
        <w:spacing w:line="360" w:lineRule="auto" w:after="120" w:before="0"/>
        <w:jc w:val="center"/>
      </w:pPr>
      <w:r>
        <w:rPr>
          <w:rFonts w:ascii="David" w:hAnsi="David" w:cs="David"/>
          <w:b w:val="0"/>
          <w:sz w:val="26"/>
          <w:szCs w:val="26"/>
          <w:rtl w:val="1"/>
        </w:rPr>
        <w:t>כיצד משפיע השימוש ברשתות החברתיות על ההישגים הלימודיים של מתבגרים וסטודנטים, ומהם הגורמים המתווכים והממתנים קשר זה?</w:t>
      </w:r>
    </w:p>
    <w:p>
      <w:pPr>
        <w:bidi/>
        <w:spacing w:line="360" w:lineRule="auto" w:after="120" w:before="0"/>
        <w:jc w:val="center"/>
      </w:pPr>
      <w:r>
        <w:rPr>
          <w:rFonts w:ascii="David" w:hAnsi="David" w:cs="David"/>
          <w:b w:val="0"/>
          <w:sz w:val="24"/>
          <w:szCs w:val="24"/>
          <w:rtl w:val="1"/>
        </w:rPr>
        <w:t>מאמר תיאורטי קצר</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80" w:before="0"/>
        <w:jc w:val="center"/>
      </w:pPr>
      <w:r>
        <w:rPr>
          <w:rFonts w:ascii="David" w:hAnsi="David" w:cs="David"/>
          <w:b w:val="0"/>
          <w:sz w:val="24"/>
          <w:szCs w:val="24"/>
          <w:rtl w:val="1"/>
        </w:rPr>
        <w:t>מגיש/ה: ______________________     ת"ז: ______________</w:t>
      </w:r>
    </w:p>
    <w:p>
      <w:pPr>
        <w:bidi/>
        <w:spacing w:line="360" w:lineRule="auto" w:after="80" w:before="0"/>
        <w:jc w:val="center"/>
      </w:pPr>
      <w:r>
        <w:rPr>
          <w:rFonts w:ascii="David" w:hAnsi="David" w:cs="David"/>
          <w:b w:val="0"/>
          <w:sz w:val="24"/>
          <w:szCs w:val="24"/>
          <w:rtl w:val="1"/>
        </w:rPr>
        <w:t>תאריך הגשה: 1 באוגוסט 2026</w:t>
      </w:r>
    </w:p>
    <w:p>
      <w:r>
        <w:br w:type="page"/>
      </w:r>
    </w:p>
    <w:p>
      <w:pPr>
        <w:bidi/>
        <w:spacing w:line="360" w:lineRule="auto" w:after="200" w:before="120"/>
        <w:jc w:val="right"/>
      </w:pPr>
      <w:r>
        <w:rPr>
          <w:rFonts w:ascii="David" w:hAnsi="David" w:cs="David"/>
          <w:b/>
          <w:sz w:val="28"/>
          <w:szCs w:val="28"/>
          <w:rtl w:val="1"/>
          <w:bCs/>
        </w:rPr>
        <w:t>תוכן עניינים</w:t>
      </w:r>
    </w:p>
    <w:p>
      <w:pPr>
        <w:tabs>
          <w:tab w:pos="8787" w:val="left" w:leader="dot"/>
        </w:tabs>
        <w:bidi/>
        <w:spacing w:line="360" w:lineRule="auto" w:after="120"/>
      </w:pPr>
      <w:r>
        <w:rPr>
          <w:rFonts w:ascii="David" w:hAnsi="David" w:cs="David"/>
          <w:b w:val="0"/>
          <w:sz w:val="24"/>
          <w:szCs w:val="24"/>
          <w:rtl w:val="1"/>
        </w:rPr>
        <w:t>מבוא</w:t>
        <w:tab/>
        <w:t>3</w:t>
      </w:r>
    </w:p>
    <w:p>
      <w:pPr>
        <w:tabs>
          <w:tab w:pos="8787" w:val="left" w:leader="dot"/>
        </w:tabs>
        <w:bidi/>
        <w:spacing w:line="360" w:lineRule="auto" w:after="120"/>
      </w:pPr>
      <w:r>
        <w:rPr>
          <w:rFonts w:ascii="David" w:hAnsi="David" w:cs="David"/>
          <w:b w:val="0"/>
          <w:sz w:val="24"/>
          <w:szCs w:val="24"/>
          <w:rtl w:val="1"/>
        </w:rPr>
        <w:t>סקירת ספרות</w:t>
        <w:tab/>
        <w:t>3</w:t>
      </w:r>
    </w:p>
    <w:p>
      <w:pPr>
        <w:tabs>
          <w:tab w:pos="8787" w:val="left" w:leader="dot"/>
        </w:tabs>
        <w:bidi/>
        <w:spacing w:line="360" w:lineRule="auto" w:after="120"/>
      </w:pPr>
      <w:r>
        <w:rPr>
          <w:rFonts w:ascii="David" w:hAnsi="David" w:cs="David"/>
          <w:b w:val="0"/>
          <w:sz w:val="24"/>
          <w:szCs w:val="24"/>
          <w:rtl w:val="1"/>
        </w:rPr>
        <w:t>דיון, סיכום ומסקנות</w:t>
        <w:tab/>
        <w:t>4</w:t>
      </w:r>
    </w:p>
    <w:p>
      <w:pPr>
        <w:tabs>
          <w:tab w:pos="8787" w:val="left" w:leader="dot"/>
        </w:tabs>
        <w:bidi/>
        <w:spacing w:line="360" w:lineRule="auto" w:after="120"/>
      </w:pPr>
      <w:r>
        <w:rPr>
          <w:rFonts w:ascii="David" w:hAnsi="David" w:cs="David"/>
          <w:b w:val="0"/>
          <w:sz w:val="24"/>
          <w:szCs w:val="24"/>
          <w:rtl w:val="1"/>
        </w:rPr>
        <w:t>רשימת מקורות</w:t>
        <w:tab/>
        <w:t>5</w:t>
      </w:r>
    </w:p>
    <w:p>
      <w:pPr>
        <w:tabs>
          <w:tab w:pos="8787" w:val="left" w:leader="dot"/>
        </w:tabs>
        <w:bidi/>
        <w:spacing w:line="360" w:lineRule="auto" w:after="120"/>
      </w:pPr>
      <w:r>
        <w:rPr>
          <w:rFonts w:ascii="David" w:hAnsi="David" w:cs="David"/>
          <w:b w:val="0"/>
          <w:sz w:val="24"/>
          <w:szCs w:val="24"/>
          <w:rtl w:val="1"/>
        </w:rPr>
        <w:t>נספח: סיכום מאמר</w:t>
        <w:tab/>
        <w:t>6</w:t>
      </w:r>
    </w:p>
    <w:p>
      <w:r>
        <w:br w:type="page"/>
      </w:r>
    </w:p>
    <w:p>
      <w:pPr>
        <w:bidi/>
        <w:spacing w:line="360" w:lineRule="auto" w:after="120" w:before="120"/>
        <w:jc w:val="right"/>
      </w:pPr>
      <w:r>
        <w:rPr>
          <w:rFonts w:ascii="David" w:hAnsi="David" w:cs="David"/>
          <w:b/>
          <w:sz w:val="26"/>
          <w:szCs w:val="26"/>
          <w:rtl w:val="1"/>
          <w:bCs/>
        </w:rPr>
        <w:t>מבוא</w:t>
      </w:r>
    </w:p>
    <w:p>
      <w:pPr>
        <w:bidi/>
        <w:spacing w:line="360" w:lineRule="auto" w:after="200" w:before="0"/>
        <w:jc w:val="both"/>
      </w:pPr>
      <w:r>
        <w:rPr>
          <w:rFonts w:ascii="David" w:hAnsi="David" w:cs="David"/>
          <w:b w:val="0"/>
          <w:sz w:val="24"/>
          <w:szCs w:val="24"/>
          <w:rtl w:val="1"/>
        </w:rPr>
        <w:t>רשתות חברתיות כמו אינסטגרם, טיקטוק וסנאפצ'ט הפכו בשנים האחרונות לחלק בלתי נפרד מחיי היומיום של מתבגרים וסטודנטים. הרוב המכריע מחזיק לפחות בחשבון אחד, ורבים מבלים בהן שעות בכל יום. לצד היתרונות החברתיים שהן מציעות, גוברת הדאגה להשפעתן על התפקוד הלימודי ועל בריאות הנפש. עבודה זו בוחנת את השאלה כיצד משפיע השימוש ברשתות החברתיות על ההישגים הלימודיים של מתבגרים וסטודנטים, ומהם הגורמים המתווכים והממתנים את הקשר. הסקירה מתבססת על שלושה מחקרים אמפיריים עדכניים, ונעה מן התמונה הכללית של התופעה אל הממצאים הספציפיים ואל הגורמים שמעצבים את הקשר.</w:t>
      </w:r>
    </w:p>
    <w:p>
      <w:pPr>
        <w:bidi/>
        <w:spacing w:line="360" w:lineRule="auto" w:after="120" w:before="120"/>
        <w:jc w:val="right"/>
      </w:pPr>
      <w:r>
        <w:rPr>
          <w:rFonts w:ascii="David" w:hAnsi="David" w:cs="David"/>
          <w:b/>
          <w:sz w:val="26"/>
          <w:szCs w:val="26"/>
          <w:rtl w:val="1"/>
          <w:bCs/>
        </w:rPr>
        <w:t>סקירת ספרות</w:t>
      </w:r>
    </w:p>
    <w:p>
      <w:pPr>
        <w:bidi/>
        <w:spacing w:line="360" w:lineRule="auto" w:after="200" w:before="0"/>
        <w:jc w:val="both"/>
      </w:pPr>
      <w:r>
        <w:rPr>
          <w:rFonts w:ascii="David" w:hAnsi="David" w:cs="David"/>
          <w:b w:val="0"/>
          <w:sz w:val="24"/>
          <w:szCs w:val="24"/>
          <w:rtl w:val="1"/>
        </w:rPr>
        <w:t>התפשטות הרשתות החברתיות בקרב בני נוער היא כמעט מוחלטת. מחקר שנערך בקרב 1,459 מתבגרים צעירים מצא ששיעור של 93 עד 97 אחוזים מהם מחזיקים לפחות בפלטפורמה חברתית אחת, נתון שממחיש עד כמה הרשתות שזורות בשגרת חייהם ואינן עוד תוספת שולית אלא סביבה שבה הם חיים חלק ניכר מזמנם (Gordon &amp; Ohannessian, 2024).</w:t>
      </w:r>
    </w:p>
    <w:p>
      <w:pPr>
        <w:bidi/>
        <w:spacing w:line="360" w:lineRule="auto" w:after="200" w:before="0"/>
        <w:jc w:val="both"/>
      </w:pPr>
      <w:r>
        <w:rPr>
          <w:rFonts w:ascii="David" w:hAnsi="David" w:cs="David"/>
          <w:b w:val="0"/>
          <w:sz w:val="24"/>
          <w:szCs w:val="24"/>
          <w:rtl w:val="1"/>
        </w:rPr>
        <w:t>ככל שהשימוש נעשה מרכזי יותר, גדל העניין המחקרי בהשלכותיו. שני צירים חוזרים בספרות, הציר הלימודי והציר הנפשי, והם שלובים זה בזה. מחקר חתך שנערך בקרב סטודנטים באוניברסיטה בבנגלדש בחן את הקשר בין השימוש ברשתות לבין התפקוד הלימודי, ומצא שבריאות הנפש מתווכת את הקשר בין התמכרות לרשתות לבין ההישגים. במילים אחרות, ההשפעה על הלימודים אינה ישירה אלא עוברת דרך מצבו הנפשי של הלומד (Al Mosharrafa et al., 2024).</w:t>
      </w:r>
    </w:p>
    <w:p>
      <w:pPr>
        <w:bidi/>
        <w:spacing w:line="360" w:lineRule="auto" w:after="200" w:before="0"/>
        <w:jc w:val="both"/>
      </w:pPr>
      <w:r>
        <w:rPr>
          <w:rFonts w:ascii="David" w:hAnsi="David" w:cs="David"/>
          <w:b w:val="0"/>
          <w:sz w:val="24"/>
          <w:szCs w:val="24"/>
          <w:rtl w:val="1"/>
        </w:rPr>
        <w:t>מבט ממוקד יותר על עוצמת השימוש חושף את המנגנון. מחקר שבחן סטודנטים מצא שהתמכרות לרשתות חברתיות קשורה בשלילה למסוגלות הלימודית ולהישגים, ושבדידות ודיכאון מנבאים ירידה בתפקוד. מנגד, כישורי פתרון בעיות ושביעות רצון מהחיים נמצאו קשורים דווקא בהישגים גבוהים יותר. הרשתות עצמן אינן הסיפור המלא, אלא המשקל שהן מקבלות בחיי הלומד והמחיר הנפשי שהוא משלם (Aslan &amp; Polat, 2024).</w:t>
      </w:r>
    </w:p>
    <w:p>
      <w:pPr>
        <w:bidi/>
        <w:spacing w:line="360" w:lineRule="auto" w:after="200" w:before="0"/>
        <w:jc w:val="both"/>
      </w:pPr>
      <w:r>
        <w:rPr>
          <w:rFonts w:ascii="David" w:hAnsi="David" w:cs="David"/>
          <w:b w:val="0"/>
          <w:sz w:val="24"/>
          <w:szCs w:val="24"/>
          <w:rtl w:val="1"/>
        </w:rPr>
        <w:t>עם זאת הקשר אינו זהה אצל כל מתבגר. המחקר על המתבגרים הצעירים מצא שככל שתדירות השימוש בפייסבוק, טוויטר, אינסטגרם וסנאפצ'ט עלתה, ההישגים הלימודיים ירדו, אך עוצמת הקשר הותנתה בגורמים נוספים. תקשורת בין הורה למתבגר מיתנה את הקשר בפייסבוק ובאינסטגרם, ומגדר מיתן אותו בטוויטר ובסנאפצ'ט. הסביבה החברתית של הלומד, ולא רק הכלי, היא שקובעת את עוצמת ההשפעה (Gordon &amp; Ohannessian, 2024).</w:t>
      </w:r>
    </w:p>
    <w:p>
      <w:pPr>
        <w:bidi/>
        <w:spacing w:line="360" w:lineRule="auto" w:after="120" w:before="120"/>
        <w:jc w:val="right"/>
      </w:pPr>
      <w:r>
        <w:rPr>
          <w:rFonts w:ascii="David" w:hAnsi="David" w:cs="David"/>
          <w:b/>
          <w:sz w:val="26"/>
          <w:szCs w:val="26"/>
          <w:rtl w:val="1"/>
          <w:bCs/>
        </w:rPr>
        <w:t>דיון, סיכום ומסקנות</w:t>
      </w:r>
    </w:p>
    <w:p>
      <w:pPr>
        <w:bidi/>
        <w:spacing w:line="360" w:lineRule="auto" w:after="200" w:before="0"/>
        <w:jc w:val="both"/>
      </w:pPr>
      <w:r>
        <w:rPr>
          <w:rFonts w:ascii="David" w:hAnsi="David" w:cs="David"/>
          <w:b w:val="0"/>
          <w:sz w:val="24"/>
          <w:szCs w:val="24"/>
          <w:rtl w:val="1"/>
        </w:rPr>
        <w:t>משלושת המחקרים עולה תמונה עקבית אך מורכבת. שימוש אינטנסיבי או ממכר ברשתות חברתיות קשור בדרך כלל לירידה בהישגים הלימודיים, אך הקשר אינו ישיר. הוא עובר דרך משתנים נפשיים כמו בדידות, דיכאון ומסוגלות עצמית, ומושפע מגורמים חברתיים כמו תקשורת עם ההורים ומגדר (Al Mosharrafa et al., 2024; Aslan &amp; Polat, 2024). המסקנה החינוכית ברורה. אי אפשר להתייחס לרשתות החברתיות כאל גורם טכני שדי לאסור או להתיר. עדיף להשקיע בחיזוק הגורמים המגנים, בעיקר קשר הורי תומך ומיומנויות ויסות רגשי, ולראות בהם חלק מהעבודה החינוכית עם בני נוער. מחקרים עתידיים ראוי שיבחנו את הקשרים האלה גם בהקשר הישראלי ולאורך זמן, כדי לבסס המלצות מעשיות למורים ולהורים (Gordon &amp; Ohannessian, 2024).</w:t>
      </w:r>
    </w:p>
    <w:p>
      <w:r>
        <w:br w:type="page"/>
      </w:r>
    </w:p>
    <w:p>
      <w:pPr>
        <w:bidi/>
        <w:spacing w:line="360" w:lineRule="auto" w:after="200" w:before="120"/>
        <w:jc w:val="right"/>
      </w:pPr>
      <w:r>
        <w:rPr>
          <w:rFonts w:ascii="David" w:hAnsi="David" w:cs="David"/>
          <w:b/>
          <w:sz w:val="26"/>
          <w:szCs w:val="26"/>
          <w:rtl w:val="1"/>
          <w:bCs/>
        </w:rPr>
        <w:t>רשימת מקורות</w:t>
      </w:r>
    </w:p>
    <w:p>
      <w:pPr>
        <w:bidi/>
        <w:spacing w:line="360" w:lineRule="auto" w:after="160"/>
        <w:ind w:left="560" w:hanging="560"/>
        <w:jc w:val="both"/>
      </w:pPr>
      <w:r>
        <w:rPr>
          <w:rFonts w:ascii="David" w:hAnsi="David" w:cs="David"/>
          <w:b w:val="0"/>
          <w:sz w:val="24"/>
          <w:szCs w:val="24"/>
        </w:rPr>
        <w:t>Al Mosharrafa, R., Akther, T., &amp; Siddique, F. K. (2024). Impact of social media usage on academic performance of university students: Mediating role of mental health under a cross-sectional study in Bangladesh. Health Science Reports, 7(1), e1788. https://doi.org/10.1002/hsr2.1788</w:t>
      </w:r>
    </w:p>
    <w:p>
      <w:pPr>
        <w:bidi/>
        <w:spacing w:line="360" w:lineRule="auto" w:after="160"/>
        <w:ind w:left="560" w:hanging="560"/>
        <w:jc w:val="both"/>
      </w:pPr>
      <w:r>
        <w:rPr>
          <w:rFonts w:ascii="David" w:hAnsi="David" w:cs="David"/>
          <w:b w:val="0"/>
          <w:sz w:val="24"/>
          <w:szCs w:val="24"/>
        </w:rPr>
        <w:t>Aslan, I., &amp; Polat, H. (2024). Investigating social media addiction and impact of social media addiction, loneliness, depression, life satisfaction and problem-solving skills on academic self-efficacy and academic success among university students. Frontiers in Public Health, 12, 1359691. https://doi.org/10.3389/fpubh.2024.1359691</w:t>
      </w:r>
    </w:p>
    <w:p>
      <w:pPr>
        <w:bidi/>
        <w:spacing w:line="360" w:lineRule="auto" w:after="160"/>
        <w:ind w:left="560" w:hanging="560"/>
        <w:jc w:val="both"/>
      </w:pPr>
      <w:r>
        <w:rPr>
          <w:rFonts w:ascii="David" w:hAnsi="David" w:cs="David"/>
          <w:b w:val="0"/>
          <w:sz w:val="24"/>
          <w:szCs w:val="24"/>
        </w:rPr>
        <w:t>Gordon, M. S., &amp; Ohannessian, C. M. (2024). Social media use and early adolescents' academic achievement: Variations by parent-adolescent communication and gender. Youth &amp; Society, 56(4), 651-672. https://doi.org/10.1177/0044118X231180317</w:t>
      </w:r>
    </w:p>
    <w:p>
      <w:r>
        <w:br w:type="page"/>
      </w:r>
    </w:p>
    <w:p>
      <w:pPr>
        <w:bidi/>
        <w:spacing w:line="360" w:lineRule="auto" w:after="160" w:before="120"/>
        <w:jc w:val="right"/>
      </w:pPr>
      <w:r>
        <w:rPr>
          <w:rFonts w:ascii="David" w:hAnsi="David" w:cs="David"/>
          <w:b/>
          <w:sz w:val="26"/>
          <w:szCs w:val="26"/>
          <w:rtl w:val="1"/>
          <w:bCs/>
        </w:rPr>
        <w:t>נספח: סיכום מאמר</w:t>
      </w:r>
    </w:p>
    <w:p>
      <w:pPr>
        <w:bidi/>
        <w:spacing w:line="360" w:lineRule="auto" w:after="200" w:before="0"/>
        <w:jc w:val="right"/>
      </w:pPr>
      <w:r>
        <w:rPr>
          <w:rFonts w:ascii="David" w:hAnsi="David" w:cs="David"/>
          <w:b w:val="0"/>
          <w:sz w:val="22"/>
          <w:szCs w:val="22"/>
          <w:rtl w:val="1"/>
        </w:rPr>
        <w:t>(סיכום המאמר של Gordon &amp; Ohannessian, 2024, על פי מודל סיכום המאמר שנלמד בקורס)</w:t>
      </w:r>
    </w:p>
    <w:p>
      <w:pPr>
        <w:bidi/>
        <w:spacing w:line="360" w:lineRule="auto" w:after="160"/>
        <w:jc w:val="both"/>
      </w:pPr>
      <w:r>
        <w:rPr>
          <w:rFonts w:ascii="David" w:hAnsi="David" w:cs="David"/>
          <w:b/>
          <w:sz w:val="24"/>
          <w:szCs w:val="24"/>
          <w:rtl w:val="1"/>
          <w:bCs/>
        </w:rPr>
        <w:t xml:space="preserve">פרטי המאמר: </w:t>
      </w:r>
      <w:r>
        <w:rPr>
          <w:rFonts w:ascii="David" w:hAnsi="David" w:cs="David"/>
          <w:b w:val="0"/>
          <w:sz w:val="24"/>
          <w:szCs w:val="24"/>
          <w:rtl w:val="1"/>
        </w:rPr>
        <w:t>Gordon, M. S., &amp; Ohannessian, C. M. (2024). Social media use and early adolescents' academic achievement: Variations by parent-adolescent communication and gender. Youth &amp; Society, 56(4), 651-672.</w:t>
      </w:r>
    </w:p>
    <w:p>
      <w:pPr>
        <w:bidi/>
        <w:spacing w:line="360" w:lineRule="auto" w:after="160"/>
        <w:jc w:val="both"/>
      </w:pPr>
      <w:r>
        <w:rPr>
          <w:rFonts w:ascii="David" w:hAnsi="David" w:cs="David"/>
          <w:b/>
          <w:sz w:val="24"/>
          <w:szCs w:val="24"/>
          <w:rtl w:val="1"/>
          <w:bCs/>
        </w:rPr>
        <w:t xml:space="preserve">נושא ומטרת המחקר: </w:t>
      </w:r>
      <w:r>
        <w:rPr>
          <w:rFonts w:ascii="David" w:hAnsi="David" w:cs="David"/>
          <w:b w:val="0"/>
          <w:sz w:val="24"/>
          <w:szCs w:val="24"/>
          <w:rtl w:val="1"/>
        </w:rPr>
        <w:t>המחקר בוחן את הקשר בין תדירות השימוש ברשתות חברתיות לבין ההישגים הלימודיים של מתבגרים צעירים, ומבקש לבדוק האם תקשורת בין הורה למתבגר ומגדר ממתנים את הקשר הזה.</w:t>
      </w:r>
    </w:p>
    <w:p>
      <w:pPr>
        <w:bidi/>
        <w:spacing w:line="360" w:lineRule="auto" w:after="160"/>
        <w:jc w:val="both"/>
      </w:pPr>
      <w:r>
        <w:rPr>
          <w:rFonts w:ascii="David" w:hAnsi="David" w:cs="David"/>
          <w:b/>
          <w:sz w:val="24"/>
          <w:szCs w:val="24"/>
          <w:rtl w:val="1"/>
          <w:bCs/>
        </w:rPr>
        <w:t xml:space="preserve">שאלת המחקר: </w:t>
      </w:r>
      <w:r>
        <w:rPr>
          <w:rFonts w:ascii="David" w:hAnsi="David" w:cs="David"/>
          <w:b w:val="0"/>
          <w:sz w:val="24"/>
          <w:szCs w:val="24"/>
          <w:rtl w:val="1"/>
        </w:rPr>
        <w:t>האם תדירות השימוש בפלטפורמות החברתיות קשורה להישגים הלימודיים, ומהו תפקידם הממתן של התקשורת ההורית ושל המגדר בקשר זה?</w:t>
      </w:r>
    </w:p>
    <w:p>
      <w:pPr>
        <w:bidi/>
        <w:spacing w:line="360" w:lineRule="auto" w:after="160"/>
        <w:jc w:val="both"/>
      </w:pPr>
      <w:r>
        <w:rPr>
          <w:rFonts w:ascii="David" w:hAnsi="David" w:cs="David"/>
          <w:b/>
          <w:sz w:val="24"/>
          <w:szCs w:val="24"/>
          <w:rtl w:val="1"/>
          <w:bCs/>
        </w:rPr>
        <w:t xml:space="preserve">שיטת המחקר: </w:t>
      </w:r>
      <w:r>
        <w:rPr>
          <w:rFonts w:ascii="David" w:hAnsi="David" w:cs="David"/>
          <w:b w:val="0"/>
          <w:sz w:val="24"/>
          <w:szCs w:val="24"/>
          <w:rtl w:val="1"/>
        </w:rPr>
        <w:t>מחקר כמותי מבוסס שאלוני דיווח עצמי בקרב 1,459 מתבגרים צעירים בארצות הברית. נמדדו תדירות השימוש בארבע פלטפורמות (פייסבוק, טוויטר, אינסטגרם וסנאפצ'ט), ההישגים הלימודיים, ורמת התקשורת בין ההורה למתבגר. הנתונים נותחו בניתוחי מיתון.</w:t>
      </w:r>
    </w:p>
    <w:p>
      <w:pPr>
        <w:bidi/>
        <w:spacing w:line="360" w:lineRule="auto" w:after="160"/>
        <w:jc w:val="both"/>
      </w:pPr>
      <w:r>
        <w:rPr>
          <w:rFonts w:ascii="David" w:hAnsi="David" w:cs="David"/>
          <w:b/>
          <w:sz w:val="24"/>
          <w:szCs w:val="24"/>
          <w:rtl w:val="1"/>
          <w:bCs/>
        </w:rPr>
        <w:t xml:space="preserve">ממצאים עיקריים: </w:t>
      </w:r>
      <w:r>
        <w:rPr>
          <w:rFonts w:ascii="David" w:hAnsi="David" w:cs="David"/>
          <w:b w:val="0"/>
          <w:sz w:val="24"/>
          <w:szCs w:val="24"/>
          <w:rtl w:val="1"/>
        </w:rPr>
        <w:t>ככל שתדירות השימוש בכל אחת מהפלטפורמות עלתה, ההישגים הלימודיים ירדו. תקשורת בין אם למתבגר מיתנה את הקשר עבור פייסבוק ואינסטגרם, ומגדר מיתן את הקשר עבור טוויטר וסנאפצ'ט.</w:t>
      </w:r>
    </w:p>
    <w:p>
      <w:pPr>
        <w:bidi/>
        <w:spacing w:line="360" w:lineRule="auto" w:after="160"/>
        <w:jc w:val="both"/>
      </w:pPr>
      <w:r>
        <w:rPr>
          <w:rFonts w:ascii="David" w:hAnsi="David" w:cs="David"/>
          <w:b/>
          <w:sz w:val="24"/>
          <w:szCs w:val="24"/>
          <w:rtl w:val="1"/>
          <w:bCs/>
        </w:rPr>
        <w:t xml:space="preserve">מסקנות: </w:t>
      </w:r>
      <w:r>
        <w:rPr>
          <w:rFonts w:ascii="David" w:hAnsi="David" w:cs="David"/>
          <w:b w:val="0"/>
          <w:sz w:val="24"/>
          <w:szCs w:val="24"/>
          <w:rtl w:val="1"/>
        </w:rPr>
        <w:t>ההשפעה של הרשתות החברתיות על הלימודים תלויה בהקשר החברתי של המתבגר. תקשורת הורית תומכת עשויה לרכך את ההשפעה השלילית של השימוש על ההישגים.</w:t>
      </w:r>
    </w:p>
    <w:p>
      <w:pPr>
        <w:bidi/>
        <w:spacing w:line="360" w:lineRule="auto" w:after="160"/>
        <w:jc w:val="both"/>
      </w:pPr>
      <w:r>
        <w:rPr>
          <w:rFonts w:ascii="David" w:hAnsi="David" w:cs="David"/>
          <w:b/>
          <w:sz w:val="24"/>
          <w:szCs w:val="24"/>
          <w:rtl w:val="1"/>
          <w:bCs/>
        </w:rPr>
        <w:t xml:space="preserve">תרומה ומגבלות: </w:t>
      </w:r>
      <w:r>
        <w:rPr>
          <w:rFonts w:ascii="David" w:hAnsi="David" w:cs="David"/>
          <w:b w:val="0"/>
          <w:sz w:val="24"/>
          <w:szCs w:val="24"/>
          <w:rtl w:val="1"/>
        </w:rPr>
        <w:t>המדגם הגדול מחזק את תוקף הממצאים ואת יכולת ההכללה שלהם. עם זאת, ההסתמכות על דיווח עצמי עלולה להטות את התוצאות, והמחקר נערך בארצות הברית בלבד, כך שראוי לבחון את הממצאים גם בהקשרים תרבותיים אחרים.</w:t>
      </w:r>
    </w:p>
    <w:sectPr w:rsidR="00FC693F" w:rsidRPr="0006063C" w:rsidSect="00034616">
      <w:footerReference w:type="default" r:id="rId9"/>
      <w:pgSz w:w="12240" w:h="15840"/>
      <w:pgMar w:top="1440" w:right="1440" w:bottom="1440" w:left="144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