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bCs/>
          <w:sz w:val="32"/>
          <w:szCs w:val="32"/>
          <w:rtl/>
        </w:rPr>
        <w:t xml:space="preserve">מצוקת האבטלה בחברה הערבית: הנתונים, מקורותיהם ומשמעותם</w:t>
      </w:r>
    </w:p>
    <w:p>
      <w:pPr>
        <w:pStyle w:val="Heading2"/>
        <w:bidi/>
        <w:spacing w:after="140" w:before="280"/>
        <w:jc w:val="right"/>
      </w:pPr>
      <w:r>
        <w:rPr>
          <w:rFonts w:ascii="David" w:cs="David" w:eastAsia="David" w:hAnsi="David"/>
          <w:b/>
          <w:bCs/>
          <w:color w:val="000000"/>
          <w:sz w:val="26"/>
          <w:szCs w:val="26"/>
          <w:rtl/>
        </w:rPr>
        <w:t xml:space="preserve">מה מודדים ומול מי משווים</w:t>
      </w:r>
    </w:p>
    <w:p>
      <w:pPr>
        <w:bidi/>
        <w:spacing w:after="200" w:line="360"/>
        <w:jc w:val="right"/>
      </w:pPr>
      <w:r>
        <w:rPr>
          <w:rFonts w:ascii="David" w:cs="David" w:eastAsia="David" w:hAnsi="David"/>
          <w:sz w:val="24"/>
          <w:szCs w:val="24"/>
          <w:rtl/>
        </w:rPr>
        <w:t xml:space="preserve">כדי לאמוד את מצוקת התעסוקה של החברה הערבית יש להגדיר תחילה מה נמדד ומול מי משווים. שיעור האבטלה הוא המדד הישיר למצוקה, משום שהוא מונה את מי שמחפשים עבודה באופן פעיל ואינם מוצאים אותה; שיעורי התעסוקה וההשתתפות מתארים רק את היקף הנוכחות בשוק העבודה, ולכן הם משמשים בניתוח זה רקע משלים בלבד (הלשכה המרכזית לסטטיסטיקה, 2023). קבוצת ההשוואה הראויה היא היהודים הלא-חרדים: ההסדרים הייחודיים לחלק ניכר מהציבור החרדי מייצרים דפוסי השתתפות ואבטלה שונים, וצירופם לקבוצת ההשוואה היה מקטין את הפער הנמדד באופן מלאכותי. זו גם החלוקה הנהוגה בפרסומי מרכז טאוב ובנק ישראל (דבאוי ואחרים, 2025).</w:t>
      </w:r>
    </w:p>
    <w:p>
      <w:pPr>
        <w:pStyle w:val="Heading2"/>
        <w:bidi/>
        <w:spacing w:after="140" w:before="280"/>
        <w:jc w:val="right"/>
      </w:pPr>
      <w:r>
        <w:rPr>
          <w:rFonts w:ascii="David" w:cs="David" w:eastAsia="David" w:hAnsi="David"/>
          <w:b/>
          <w:bCs/>
          <w:color w:val="000000"/>
          <w:sz w:val="26"/>
          <w:szCs w:val="26"/>
          <w:rtl/>
        </w:rPr>
        <w:t xml:space="preserve">2019: הסימנים המוקדמים, עוד לפני המשברים</w:t>
      </w:r>
    </w:p>
    <w:p>
      <w:pPr>
        <w:bidi/>
        <w:spacing w:after="200" w:line="360"/>
        <w:jc w:val="right"/>
      </w:pPr>
      <w:r>
        <w:rPr>
          <w:rFonts w:ascii="David" w:cs="David" w:eastAsia="David" w:hAnsi="David"/>
          <w:sz w:val="24"/>
          <w:szCs w:val="24"/>
          <w:rtl/>
        </w:rPr>
        <w:t xml:space="preserve">הבחירה לפתוח את הניתוח בשנת 2019 אינה מקרית. זו הייתה שנת גאות בשוק העבודה, שבה שיעור האבטלה הכללי במשק עמד על כ-4% בלבד. דווקא על רקע זה בולט ממצא של שירות התעסוקה: מספר תובעי קצבת האבטלה מהאוכלוסייה הלא-יהודית עלה באותה שנה בכ-14%, לעומת עלייה של כ-5% בלבד בקרב היהודים, ושיעור דורשי העבודה מהמגזר הערבי המשיך לעלות על משקלם באוכלוסייה (שירות התעסוקה, 2019). המשמעות האנליטית חשובה: ההידרדרות היחסית של החברה הערבית החלה עוד לפני הקורונה ולפני המלחמה, בתקופה שבה השוק כולו שגשג. כאשר קבוצה נחלשת דווקא בעת גאות, קשה לתלות את מצבה בגורמים מחזוריים, ויש לחפש את ההסבר בחסמים מבניים.</w:t>
      </w:r>
    </w:p>
    <w:p>
      <w:pPr>
        <w:pStyle w:val="Heading2"/>
        <w:bidi/>
        <w:spacing w:after="140" w:before="280"/>
        <w:jc w:val="right"/>
      </w:pPr>
      <w:r>
        <w:rPr>
          <w:rFonts w:ascii="David" w:cs="David" w:eastAsia="David" w:hAnsi="David"/>
          <w:b/>
          <w:bCs/>
          <w:color w:val="000000"/>
          <w:sz w:val="26"/>
          <w:szCs w:val="26"/>
          <w:rtl/>
        </w:rPr>
        <w:t xml:space="preserve">2022: הפער בשגרה</w:t>
      </w:r>
    </w:p>
    <w:p>
      <w:pPr>
        <w:bidi/>
        <w:spacing w:after="200" w:line="360"/>
        <w:jc w:val="right"/>
      </w:pPr>
      <w:r>
        <w:rPr>
          <w:rFonts w:ascii="David" w:cs="David" w:eastAsia="David" w:hAnsi="David"/>
          <w:sz w:val="24"/>
          <w:szCs w:val="24"/>
          <w:rtl/>
        </w:rPr>
        <w:t xml:space="preserve">בשנת 2022, שנת שגרה שבין שני המשברים, עמד שיעור הבלתי-מועסקים בקרב ערבים על 5.5%, לעומת 3.5% בקרב יהודים (המכון הישראלי לדמוקרטיה, 2023). פער של שתי נקודות אחוז נשמע מתון, אך במונחים יחסיים פירושו שהסיכון של עובד ערבי להיות מובטל גבוה ביותר מחמישים אחוזים מזה של עובד יהודי. חשוב מכך, הפער הזה נמדד במצב השוק הטוב ביותר, ולכן הוא מייצג את נקודת המינימום של המצוקה ולא את שיאה.</w:t>
      </w:r>
    </w:p>
    <w:p>
      <w:pPr>
        <w:pStyle w:val="Heading2"/>
        <w:bidi/>
        <w:spacing w:after="140" w:before="280"/>
        <w:jc w:val="right"/>
      </w:pPr>
      <w:r>
        <w:rPr>
          <w:rFonts w:ascii="David" w:cs="David" w:eastAsia="David" w:hAnsi="David"/>
          <w:b/>
          <w:bCs/>
          <w:color w:val="000000"/>
          <w:sz w:val="26"/>
          <w:szCs w:val="26"/>
          <w:rtl/>
        </w:rPr>
        <w:t xml:space="preserve">אוקטובר 2023: הלם אסימטרי</w:t>
      </w:r>
    </w:p>
    <w:p>
      <w:pPr>
        <w:bidi/>
        <w:spacing w:after="200" w:line="360"/>
        <w:jc w:val="right"/>
      </w:pPr>
      <w:r>
        <w:rPr>
          <w:rFonts w:ascii="David" w:cs="David" w:eastAsia="David" w:hAnsi="David"/>
          <w:sz w:val="24"/>
          <w:szCs w:val="24"/>
          <w:rtl/>
        </w:rPr>
        <w:t xml:space="preserve">פרוץ המלחמה חשף עד כמה שברירי מעמדה של התעסוקה הערבית. שיעור האבטלה בחברה הערבית שילש את עצמו בתוך חודש אחד והגיע לכפליים מהשיעור בחברה היהודית, ובמדד האבטלה הרחבה נרשמו 15.6% בחברה הערבית לעומת 8.6% בקרב היהודים (בנק ישראל, 2024ב). נתוני ההיעדרות מחדדים את האסימטריה: שיעור הנעדרים מעבודתם מסיבות כלכליות זינק בקרב מועסקים ערבים מ-0.5% ל-10.3%, גידול של פי עשרים, בעוד שבקרב מועסקים יהודים העלייה הייתה מ-0.3% ל-5.6% (ג'וינט ישראל, 2025). אותו הלם מקרו-כלכלי פגע אפוא בחברה הערבית בעוצמה כפולה. ההסבר טמון בהרכב התעסוקה: כשליש מהמועסקים הערבים עובדים במשלחי יד שבנק ישראל הגדיר כבעלי סיכון גבוה לפגיעה בתעסוקה, לעומת 14% בלבד מהמועסקים היהודים, ולכן כל זעזוע חיצוני מתורגם אצלם במהירות לאבטלה בפועל (בנק ישראל, 2024ב).</w:t>
      </w:r>
    </w:p>
    <w:p>
      <w:pPr>
        <w:pStyle w:val="Heading2"/>
        <w:bidi/>
        <w:spacing w:after="140" w:before="280"/>
        <w:jc w:val="right"/>
      </w:pPr>
      <w:r>
        <w:rPr>
          <w:rFonts w:ascii="David" w:cs="David" w:eastAsia="David" w:hAnsi="David"/>
          <w:b/>
          <w:bCs/>
          <w:color w:val="000000"/>
          <w:sz w:val="26"/>
          <w:szCs w:val="26"/>
          <w:rtl/>
        </w:rPr>
        <w:t xml:space="preserve">2024–2025: התאוששות חלקית ופער שמתקבע</w:t>
      </w:r>
    </w:p>
    <w:p>
      <w:pPr>
        <w:bidi/>
        <w:spacing w:after="200" w:line="360"/>
        <w:jc w:val="right"/>
      </w:pPr>
      <w:r>
        <w:rPr>
          <w:rFonts w:ascii="David" w:cs="David" w:eastAsia="David" w:hAnsi="David"/>
          <w:sz w:val="24"/>
          <w:szCs w:val="24"/>
          <w:rtl/>
        </w:rPr>
        <w:t xml:space="preserve">המבחן האמיתי של מגמה הוא ההתאוששות, וכאן התמונה מדאיגה במיוחד. שיעור התעסוקה של גברים ערבים בני 25 עד 66, שעמד ערב המלחמה על כ-78%, צנח בחודשי המלחמה הראשונים ל-66%, ובינואר 2024 שב ל-71% בלבד (ג'וינט ישראל, 2025). ברבעון השלישי של 2024 עמדה תעסוקת הגברים הערבים בני 25 עד 64 על 75%, בעוד גברים יהודים לא-חרדים שמרו על 87% לאורך כל התקופה (דבאוי ואחרים, 2025). כלומר, הקבוצה שנפגעה לא חזרה לנקודת המוצא, והקבוצה שלא נפגעה כלל לא זזה: הפער התרחב והתקבע. נתוני דורשי העבודה סוגרים את התמונה מכיוון נוסף. חלקם של הערבים בקרב דורשי העבודה הרשומים עמד על 32% בינואר 2023, 29.7% בינואר 2024 ו-29.1% בינואר 2025, בעוד חלקם בגילי העבודה עומד על כחמישית בלבד, ושיעור החזרה שלהם לעבודה נמוך במיוחד (שירות התעסוקה, 2025). ירידה של שלוש נקודות אחוז בשנתיים אינה התכנסות אלא קיבעון ברמה גבוהה, והשילוב בין ייצוג עודף מתמשך ובין משך אבטלה ארוך מרמז על היווצרותה של אבטלה מבנית ממושכת.</w:t>
      </w:r>
    </w:p>
    <w:p>
      <w:pPr>
        <w:pStyle w:val="Heading2"/>
        <w:bidi/>
        <w:spacing w:after="140" w:before="280"/>
        <w:jc w:val="right"/>
      </w:pPr>
      <w:r>
        <w:rPr>
          <w:rFonts w:ascii="David" w:cs="David" w:eastAsia="David" w:hAnsi="David"/>
          <w:b/>
          <w:bCs/>
          <w:color w:val="000000"/>
          <w:sz w:val="26"/>
          <w:szCs w:val="26"/>
          <w:rtl/>
        </w:rPr>
        <w:t xml:space="preserve">הפילוחים בתוך החברה הערבית: השונות היא עצמה ממצא</w:t>
      </w:r>
    </w:p>
    <w:p>
      <w:pPr>
        <w:bidi/>
        <w:spacing w:after="200" w:line="360"/>
        <w:jc w:val="right"/>
      </w:pPr>
      <w:r>
        <w:rPr>
          <w:rFonts w:ascii="David" w:cs="David" w:eastAsia="David" w:hAnsi="David"/>
          <w:sz w:val="24"/>
          <w:szCs w:val="24"/>
          <w:rtl/>
        </w:rPr>
        <w:t xml:space="preserve">הממוצעים מסתירים שונות פנימית גדולה, והשונות הזו היא עצמה ממצא בעל השלכות מדיניות. בפילוח מגדרי מתקיימות שתי מצוקות שונות: אצל הגברים הבעיה היא פגיעות חריפה לאובדן עבודה בעת משבר, כפי שמעיד חלקם הגבוה, 57.8%, בדורשי העבודה החדשים בחברה הערבית במשבר הקורונה, כמחציתם צעירים בני 20 עד 34 (שירות התעסוקה, 2020); אצל הנשים המצוקה כפולה, השתתפות נמוכה במיוחד לצד קושי ממשי של המחפשות למצוא עבודה. מדיניות אחידה תחטיא בהכרח לפחות אחת משתי הקבוצות. בפילוח גילי, יותר משליש מהגברים הערבים בני 18 עד 24 אינם עובדים ואינם לומדים (מדד אלפנאר, 2025), נתון שאינו רק בעיה של ההווה אלא מנגנון שמשעתק את הפער לדור הבא. בפילוח גאוגרפי המצוקה מתרכזת בפריפריה, שבה שוכנים רוב היישובים הערביים, והיא חריפה במיוחד בקרב הבדואים בנגב, שבהם חלקם של מקבלי הבטחת ההכנסה בקרב דורשי העבודה גבוה במיוחד (שירות התעסוקה, 2020). האבטלה הערבית היא אפוא גם בעיה אזורית, ולא רק מגזרית.</w:t>
      </w:r>
    </w:p>
    <w:p>
      <w:pPr>
        <w:pStyle w:val="Heading2"/>
        <w:bidi/>
        <w:spacing w:after="140" w:before="280"/>
        <w:jc w:val="right"/>
      </w:pPr>
      <w:r>
        <w:rPr>
          <w:rFonts w:ascii="David" w:cs="David" w:eastAsia="David" w:hAnsi="David"/>
          <w:b/>
          <w:bCs/>
          <w:color w:val="000000"/>
          <w:sz w:val="26"/>
          <w:szCs w:val="26"/>
          <w:rtl/>
        </w:rPr>
        <w:t xml:space="preserve">רקע משלים: תעסוקה ושכר, והמחיר למשק</w:t>
      </w:r>
    </w:p>
    <w:p>
      <w:pPr>
        <w:bidi/>
        <w:spacing w:after="200" w:line="360"/>
        <w:jc w:val="right"/>
      </w:pPr>
      <w:r>
        <w:rPr>
          <w:rFonts w:ascii="David" w:cs="David" w:eastAsia="David" w:hAnsi="David"/>
          <w:sz w:val="24"/>
          <w:szCs w:val="24"/>
          <w:rtl/>
        </w:rPr>
        <w:t xml:space="preserve">נתוני הרקע משלימים את התמונה ומראים שהאבטלה הנמדדת היא רק חלקו הגלוי של אי-המיצוי. שיעור התעסוקה בחברה הערבית עומד על כ-48% לעומת כ-60.8% בכלל המשק, ובקרב נשים ערביות על 28.3% בלבד (הלשכה המרכזית לסטטיסטיקה, 2023). גם המועסקים אינם ממצים את כוחם: פער השכר בין גברים ערבים לגברים יהודים לא-חרדים מגיע לכ-45%, אף שהגברים הערבים עובדים בממוצע 21 שעות יותר בחודש. פירוק הפער מלמד שההשכלה מסבירה כרבע ממנו, ענפי התעסוקה כחמישית, מקום המגורים כ-17% והכנסת ההורים כ-12%, ואילו כ-35% נותרים בלתי-מוסברים גם לאחר כל אלה (משרד האוצר, 2021). לפי אותו מחקר, סגירת פערי ההכנסה בין גברים ערבים ליהודים היא התרומה הפוטנציאלית הגדולה ביותר לצמיחת התוצר בישראל. המצוקה המתוארת כאן אינה רק שאלה של שוויון, אלא אובדן כלכלי מתמשך למשק כולו.</w:t>
      </w:r>
    </w:p>
    <w:p>
      <w:pPr>
        <w:pStyle w:val="Heading2"/>
        <w:bidi/>
        <w:spacing w:after="140" w:before="280"/>
        <w:jc w:val="right"/>
      </w:pPr>
      <w:r>
        <w:rPr>
          <w:rFonts w:ascii="David" w:cs="David" w:eastAsia="David" w:hAnsi="David"/>
          <w:b/>
          <w:bCs/>
          <w:color w:val="000000"/>
          <w:sz w:val="26"/>
          <w:szCs w:val="26"/>
          <w:rtl/>
        </w:rPr>
        <w:t xml:space="preserve">סיכום הניתוח</w:t>
      </w:r>
    </w:p>
    <w:p>
      <w:pPr>
        <w:bidi/>
        <w:spacing w:after="200" w:line="360"/>
        <w:jc w:val="right"/>
      </w:pPr>
      <w:r>
        <w:rPr>
          <w:rFonts w:ascii="David" w:cs="David" w:eastAsia="David" w:hAnsi="David"/>
          <w:sz w:val="24"/>
          <w:szCs w:val="24"/>
          <w:rtl/>
        </w:rPr>
        <w:t xml:space="preserve">שלוש מסקנות עולות מצירוף הנתונים. ראשית, המצוקה מחריפה: מהסימנים המוקדמים של 2019, דרך פער יציב בשגרה של 2022, ועד הלם אסימטרי במלחמה והתאוששות שאינה סוגרת את הפער. שנית, ההחרפה אינה מחזורית אלא מבנית, שכן היא מופיעה גם בעיתות גאות ומרוכזת בענפים, באזורים ובקבוצות שהחסמים המבניים חלים עליהם ביתר שאת. שלישית, לנמען הנייר, שר העבודה, יש חלון פעולה מוגבל: ככל שמשך האבטלה מתארך ושיעור החזרה לעבודה יורד, אבטלה זמנית מתקבעת לנשירה קבועה מכוח העבודה, והעלות של דחיית הטיפול עולה בהתמדה.</w:t>
      </w:r>
    </w:p>
    <w:p>
      <w:pPr>
        <w:pStyle w:val="Heading2"/>
        <w:bidi/>
        <w:spacing w:after="140" w:before="280"/>
        <w:jc w:val="right"/>
      </w:pPr>
      <w:r>
        <w:rPr>
          <w:rFonts w:ascii="David" w:cs="David" w:eastAsia="David" w:hAnsi="David"/>
          <w:b/>
          <w:bCs/>
          <w:color w:val="000000"/>
          <w:sz w:val="26"/>
          <w:szCs w:val="26"/>
          <w:rtl/>
        </w:rPr>
        <w:t xml:space="preserve">רשימת המקורות עם קישורים</w:t>
      </w:r>
    </w:p>
    <w:p>
      <w:pPr>
        <w:bidi/>
        <w:spacing w:after="20"/>
        <w:jc w:val="right"/>
      </w:pPr>
      <w:r>
        <w:rPr>
          <w:rFonts w:ascii="David" w:cs="David" w:eastAsia="David" w:hAnsi="David"/>
          <w:sz w:val="22"/>
          <w:szCs w:val="22"/>
          <w:rtl/>
        </w:rPr>
        <w:t xml:space="preserve">בנק ישראל (2024ב). דין וחשבון 2023.</w:t>
      </w:r>
    </w:p>
    <w:p>
      <w:pPr>
        <w:spacing w:after="160"/>
        <w:jc w:val="left"/>
      </w:pPr>
      <w:hyperlink w:history="1" r:id="rIdcybmb0jl1rcndnu3ptrnt">
        <w:r>
          <w:rPr>
            <w:rStyle w:val="Hyperlink"/>
            <w:rFonts w:ascii="Times New Roman" w:cs="Times New Roman" w:eastAsia="Times New Roman" w:hAnsi="Times New Roman"/>
            <w:sz w:val="18"/>
            <w:szCs w:val="18"/>
          </w:rPr>
          <w:t xml:space="preserve">https://boi.org.il/media/bixo1v0q/full-anuual2023.pdf</w:t>
        </w:r>
      </w:hyperlink>
    </w:p>
    <w:p>
      <w:pPr>
        <w:bidi/>
        <w:spacing w:after="20"/>
        <w:jc w:val="right"/>
      </w:pPr>
      <w:r>
        <w:rPr>
          <w:rFonts w:ascii="David" w:cs="David" w:eastAsia="David" w:hAnsi="David"/>
          <w:sz w:val="22"/>
          <w:szCs w:val="22"/>
          <w:rtl/>
        </w:rPr>
        <w:t xml:space="preserve">ג'וינט ישראל (2025). השלכות המלחמה על החברה הערבית: תמונת מצב על החברה הערבית בישראל.</w:t>
      </w:r>
    </w:p>
    <w:p>
      <w:pPr>
        <w:spacing w:after="160"/>
        <w:jc w:val="left"/>
      </w:pPr>
      <w:hyperlink w:history="1" r:id="rId874voi3hthenctf_63euu">
        <w:r>
          <w:rPr>
            <w:rStyle w:val="Hyperlink"/>
            <w:rFonts w:ascii="Times New Roman" w:cs="Times New Roman" w:eastAsia="Times New Roman" w:hAnsi="Times New Roman"/>
            <w:sz w:val="18"/>
            <w:szCs w:val="18"/>
          </w:rPr>
          <w:t xml:space="preserve">https://www.thejoint.org.il/wp-content/uploads/2025/01/%D7%AA%D7%9E%D7%95%D7%A0%D7%AA-%D7%9E%D7%A6%D7%91-%D7%A2%D7%9C-%D7%94%D7%97%D7%91%D7%A8%D7%94-%D7%94%D7%A2%D7%A8%D7%91%D7%99%D7%AA-A4.pdf</w:t>
        </w:r>
      </w:hyperlink>
    </w:p>
    <w:p>
      <w:pPr>
        <w:bidi/>
        <w:spacing w:after="20"/>
        <w:jc w:val="right"/>
      </w:pPr>
      <w:r>
        <w:rPr>
          <w:rFonts w:ascii="David" w:cs="David" w:eastAsia="David" w:hAnsi="David"/>
          <w:sz w:val="22"/>
          <w:szCs w:val="22"/>
          <w:rtl/>
        </w:rPr>
        <w:t xml:space="preserve">דבאוי, מ', אפשטיין, ג', ווייס, א' (2025). שוק העבודה בישראל 2024: בצל המלחמה. מרכז טאוב לחקר המדיניות החברתית בישראל.</w:t>
      </w:r>
    </w:p>
    <w:p>
      <w:pPr>
        <w:spacing w:after="160"/>
        <w:jc w:val="left"/>
      </w:pPr>
      <w:hyperlink w:history="1" r:id="rIddlnhyb49rly6lrs32rb2f">
        <w:r>
          <w:rPr>
            <w:rStyle w:val="Hyperlink"/>
            <w:rFonts w:ascii="Times New Roman" w:cs="Times New Roman" w:eastAsia="Times New Roman" w:hAnsi="Times New Roman"/>
            <w:sz w:val="18"/>
            <w:szCs w:val="18"/>
          </w:rPr>
          <w:t xml:space="preserve">https://www.taubcenter.org.il/wp-content/uploads/2025/01/Labor-2024-HEB-2.pdf</w:t>
        </w:r>
      </w:hyperlink>
    </w:p>
    <w:p>
      <w:pPr>
        <w:bidi/>
        <w:spacing w:after="20"/>
        <w:jc w:val="right"/>
      </w:pPr>
      <w:r>
        <w:rPr>
          <w:rFonts w:ascii="David" w:cs="David" w:eastAsia="David" w:hAnsi="David"/>
          <w:sz w:val="22"/>
          <w:szCs w:val="22"/>
          <w:rtl/>
        </w:rPr>
        <w:t xml:space="preserve">הלשכה המרכזית לסטטיסטיקה (2023). פני החברה בישראל מס' 14: פערים בין יהודים לערבים.</w:t>
      </w:r>
    </w:p>
    <w:p>
      <w:pPr>
        <w:spacing w:after="160"/>
        <w:jc w:val="left"/>
      </w:pPr>
      <w:hyperlink w:history="1" r:id="rIdn1gqe6klr-t-thb2z9fhh">
        <w:r>
          <w:rPr>
            <w:rStyle w:val="Hyperlink"/>
            <w:rFonts w:ascii="Times New Roman" w:cs="Times New Roman" w:eastAsia="Times New Roman" w:hAnsi="Times New Roman"/>
            <w:sz w:val="18"/>
            <w:szCs w:val="18"/>
          </w:rPr>
          <w:t xml:space="preserve">https://www.cbs.gov.il/he/publications/DocLib/2023/rep_14/%D7%93%D7%95%D7%97%20%D7%A4%D7%A0%D7%99%20%D7%94%D7%97%D7%91%D7%A8%D7%94%20%D7%91%D7%99%D7%A9%D7%A8%D7%90%D7%9C%20%D7%9E%D7%A1%2014%20-%20INTERNET%20(1).pdf</w:t>
        </w:r>
      </w:hyperlink>
    </w:p>
    <w:p>
      <w:pPr>
        <w:bidi/>
        <w:spacing w:after="20"/>
        <w:jc w:val="right"/>
      </w:pPr>
      <w:r>
        <w:rPr>
          <w:rFonts w:ascii="David" w:cs="David" w:eastAsia="David" w:hAnsi="David"/>
          <w:sz w:val="22"/>
          <w:szCs w:val="22"/>
          <w:rtl/>
        </w:rPr>
        <w:t xml:space="preserve">המכון הישראלי לדמוקרטיה (2023). שנתון החברה הערבית בישראל 2023.</w:t>
      </w:r>
    </w:p>
    <w:p>
      <w:pPr>
        <w:spacing w:after="160"/>
        <w:jc w:val="left"/>
      </w:pPr>
      <w:hyperlink w:history="1" r:id="rIdh09eon5as3cyyx-oumumg">
        <w:r>
          <w:rPr>
            <w:rStyle w:val="Hyperlink"/>
            <w:rFonts w:ascii="Times New Roman" w:cs="Times New Roman" w:eastAsia="Times New Roman" w:hAnsi="Times New Roman"/>
            <w:sz w:val="18"/>
            <w:szCs w:val="18"/>
          </w:rPr>
          <w:t xml:space="preserve">https://www.idi.org.il/arab-society/2023/</w:t>
        </w:r>
      </w:hyperlink>
    </w:p>
    <w:p>
      <w:pPr>
        <w:bidi/>
        <w:spacing w:after="20"/>
        <w:jc w:val="right"/>
      </w:pPr>
      <w:r>
        <w:rPr>
          <w:rFonts w:ascii="David" w:cs="David" w:eastAsia="David" w:hAnsi="David"/>
          <w:sz w:val="22"/>
          <w:szCs w:val="22"/>
          <w:rtl/>
        </w:rPr>
        <w:t xml:space="preserve">מדד אלפנאר (2025). מדד התעסוקה בחברה הערבית. אלפנאר לקידום תעסוקת ערבים בישראל.</w:t>
      </w:r>
    </w:p>
    <w:p>
      <w:pPr>
        <w:spacing w:after="160"/>
        <w:jc w:val="left"/>
      </w:pPr>
      <w:hyperlink w:history="1" r:id="rIdr0b5gfri3tribkqmewfkf">
        <w:r>
          <w:rPr>
            <w:rStyle w:val="Hyperlink"/>
            <w:rFonts w:ascii="Times New Roman" w:cs="Times New Roman" w:eastAsia="Times New Roman" w:hAnsi="Times New Roman"/>
            <w:sz w:val="18"/>
            <w:szCs w:val="18"/>
          </w:rPr>
          <w:t xml:space="preserve">https://alfanar.org.il/he/%D7%9E%D7%93%D7%93-%D7%90%D7%9C%D7%A4%D7%A0%D7%90%D7%A8-2025/</w:t>
        </w:r>
      </w:hyperlink>
    </w:p>
    <w:p>
      <w:pPr>
        <w:bidi/>
        <w:spacing w:after="20"/>
        <w:jc w:val="right"/>
      </w:pPr>
      <w:r>
        <w:rPr>
          <w:rFonts w:ascii="David" w:cs="David" w:eastAsia="David" w:hAnsi="David"/>
          <w:sz w:val="22"/>
          <w:szCs w:val="22"/>
          <w:rtl/>
        </w:rPr>
        <w:t xml:space="preserve">משרד האוצר (2021). פערי שכר בין גברים יהודים לערבים, אגף הכלכלן הראשי (נובמבר 2021; דיווח: כלכליסט).</w:t>
      </w:r>
    </w:p>
    <w:p>
      <w:pPr>
        <w:spacing w:after="160"/>
        <w:jc w:val="left"/>
      </w:pPr>
      <w:hyperlink w:history="1" r:id="rIdngi6u8oqckbp8oeaw7cei">
        <w:r>
          <w:rPr>
            <w:rStyle w:val="Hyperlink"/>
            <w:rFonts w:ascii="Times New Roman" w:cs="Times New Roman" w:eastAsia="Times New Roman" w:hAnsi="Times New Roman"/>
            <w:sz w:val="18"/>
            <w:szCs w:val="18"/>
          </w:rPr>
          <w:t xml:space="preserve">https://www.calcalist.co.il/local_news/article/hkbhvxfdt</w:t>
        </w:r>
      </w:hyperlink>
    </w:p>
    <w:p>
      <w:pPr>
        <w:bidi/>
        <w:spacing w:after="20"/>
        <w:jc w:val="right"/>
      </w:pPr>
      <w:r>
        <w:rPr>
          <w:rFonts w:ascii="David" w:cs="David" w:eastAsia="David" w:hAnsi="David"/>
          <w:sz w:val="22"/>
          <w:szCs w:val="22"/>
          <w:rtl/>
        </w:rPr>
        <w:t xml:space="preserve">שירות התעסוקה (2019). דוח סיכום שנת 2019: מגמות בשוק העבודה. שירות התעסוקה הישראלי.</w:t>
      </w:r>
    </w:p>
    <w:p>
      <w:pPr>
        <w:spacing w:after="160"/>
        <w:jc w:val="left"/>
      </w:pPr>
      <w:hyperlink w:history="1" r:id="rIdmtuaxgufhtjo4kszfyeki">
        <w:r>
          <w:rPr>
            <w:rStyle w:val="Hyperlink"/>
            <w:rFonts w:ascii="Times New Roman" w:cs="Times New Roman" w:eastAsia="Times New Roman" w:hAnsi="Times New Roman"/>
            <w:sz w:val="18"/>
            <w:szCs w:val="18"/>
          </w:rPr>
          <w:t xml:space="preserve">https://www.taasuka.gov.il/he/InfoAndPublications/ReasearchAndReviews/pages/datasummary1219.aspx</w:t>
        </w:r>
      </w:hyperlink>
    </w:p>
    <w:p>
      <w:pPr>
        <w:bidi/>
        <w:spacing w:after="20"/>
        <w:jc w:val="right"/>
      </w:pPr>
      <w:r>
        <w:rPr>
          <w:rFonts w:ascii="David" w:cs="David" w:eastAsia="David" w:hAnsi="David"/>
          <w:sz w:val="22"/>
          <w:szCs w:val="22"/>
          <w:rtl/>
        </w:rPr>
        <w:t xml:space="preserve">שירות התעסוקה (2020). מאפייני דורשי העבודה החדשים בתקופת משבר הקורונה. שירות התעסוקה הישראלי.</w:t>
      </w:r>
    </w:p>
    <w:p>
      <w:pPr>
        <w:spacing w:after="160"/>
      </w:pPr>
    </w:p>
    <w:p>
      <w:pPr>
        <w:bidi/>
        <w:spacing w:after="20"/>
        <w:jc w:val="right"/>
      </w:pPr>
      <w:r>
        <w:rPr>
          <w:rFonts w:ascii="David" w:cs="David" w:eastAsia="David" w:hAnsi="David"/>
          <w:sz w:val="22"/>
          <w:szCs w:val="22"/>
          <w:rtl/>
        </w:rPr>
        <w:t xml:space="preserve">שירות התעסוקה (2025). נתוני דורשי עבודה לפי קבוצות אוכלוסייה. שירות התעסוקה הישראלי.</w:t>
      </w:r>
    </w:p>
    <w:p>
      <w:pPr>
        <w:spacing w:after="1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ybmb0jl1rcndnu3ptrnt" Type="http://schemas.openxmlformats.org/officeDocument/2006/relationships/hyperlink" Target="https://boi.org.il/media/bixo1v0q/full-anuual2023.pdf" TargetMode="External"/><Relationship Id="rId874voi3hthenctf_63euu" Type="http://schemas.openxmlformats.org/officeDocument/2006/relationships/hyperlink" Target="https://www.thejoint.org.il/wp-content/uploads/2025/01/%D7%AA%D7%9E%D7%95%D7%A0%D7%AA-%D7%9E%D7%A6%D7%91-%D7%A2%D7%9C-%D7%94%D7%97%D7%91%D7%A8%D7%94-%D7%94%D7%A2%D7%A8%D7%91%D7%99%D7%AA-A4.pdf" TargetMode="External"/><Relationship Id="rIddlnhyb49rly6lrs32rb2f" Type="http://schemas.openxmlformats.org/officeDocument/2006/relationships/hyperlink" Target="https://www.taubcenter.org.il/wp-content/uploads/2025/01/Labor-2024-HEB-2.pdf" TargetMode="External"/><Relationship Id="rIdn1gqe6klr-t-thb2z9fhh" Type="http://schemas.openxmlformats.org/officeDocument/2006/relationships/hyperlink" Target="https://www.cbs.gov.il/he/publications/DocLib/2023/rep_14/%D7%93%D7%95%D7%97%20%D7%A4%D7%A0%D7%99%20%D7%94%D7%97%D7%91%D7%A8%D7%94%20%D7%91%D7%99%D7%A9%D7%A8%D7%90%D7%9C%20%D7%9E%D7%A1%2014%20-%20INTERNET%20(1).pdf" TargetMode="External"/><Relationship Id="rIdh09eon5as3cyyx-oumumg" Type="http://schemas.openxmlformats.org/officeDocument/2006/relationships/hyperlink" Target="https://www.idi.org.il/arab-society/2023/" TargetMode="External"/><Relationship Id="rIdr0b5gfri3tribkqmewfkf" Type="http://schemas.openxmlformats.org/officeDocument/2006/relationships/hyperlink" Target="https://alfanar.org.il/he/%D7%9E%D7%93%D7%93-%D7%90%D7%9C%D7%A4%D7%A0%D7%90%D7%A8-2025/" TargetMode="External"/><Relationship Id="rIdngi6u8oqckbp8oeaw7cei" Type="http://schemas.openxmlformats.org/officeDocument/2006/relationships/hyperlink" Target="https://www.calcalist.co.il/local_news/article/hkbhvxfdt" TargetMode="External"/><Relationship Id="rIdmtuaxgufhtjo4kszfyeki" Type="http://schemas.openxmlformats.org/officeDocument/2006/relationships/hyperlink" Target="https://www.taasuka.gov.il/he/InfoAndPublications/ReasearchAndReviews/pages/datasummary1219.aspx"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2026-08-24T07:23:37.186Z</dcterms:created>
  <dcterms:modified xsi:type="dcterms:W3CDTF">2026-08-24T07:23:37.214Z</dcterms:modified>
</cp:coreProperties>
</file>

<file path=docProps/custom.xml><?xml version="1.0" encoding="utf-8"?>
<Properties xmlns="http://schemas.openxmlformats.org/officeDocument/2006/custom-properties" xmlns:vt="http://schemas.openxmlformats.org/officeDocument/2006/docPropsVTypes"/>
</file>