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שיימינג והטרדה ברשתות החברתיות בקרב ילדים ומתבגרים</w:t>
      </w:r>
    </w:p>
    <w:p>
      <w:pPr>
        <w:bidi/>
        <w:spacing w:line="360" w:lineRule="auto" w:after="120" w:before="0"/>
        <w:jc w:val="center"/>
      </w:pPr>
      <w:r>
        <w:rPr>
          <w:rFonts w:ascii="David" w:hAnsi="David" w:cs="David"/>
          <w:b w:val="0"/>
          <w:sz w:val="26"/>
          <w:szCs w:val="26"/>
          <w:rtl w:val="1"/>
        </w:rPr>
        <w:t>מהו היקף השיימינג וההטרדה ברשתות החברתיות בקרב ילדים ומתבגרים, וכיצד הם קשורים לבדידות ולמסוגלות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6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6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ילדים ומתבגרים מנהלים חלק ניכר מחייהם החברתיים, ואצל רבים מהם קבוצת הווטסאפ הכיתתית היא לב העניין. חלק גדל והולך מהאינטראקציות החברתיות שלהם מתרחש היום במרחב הווירטואלי, לצד המרחב הממשי ולעיתים במקומו. לצד ההזדמנויות שהמרחב הזה פותח, הוא חושף אותם גם לשיימינג ולהטרדות שאינם נעצרים בשערי בית הספר אלא מלווים אותם הביתה ואל תוך החדר, בכל שעה. עבור אנשי חינוך זהו אתגר חדש, משום שהפגיעה מתרחשת הרחק מעיניהם ובכלים שאינם בשליטתם. עבודה זו בוחנת את השאלה מהו היקף השיימינג וההטרדה ברשתות החברתיות בקרב ילדים ומתבגרים, וכיצד הם קשורים לתחושת הבדידות ולמסוגלות החברתית. הסקירה מתבססת על שלושה מחקרים אמפיריים ונעה מן התמונה הכללית של התופעה אל אוכלוסיות בסיכון ואל ההשלכות החברתיות-רגשיות שלה.</w:t>
      </w:r>
    </w:p>
    <w:p>
      <w:pPr>
        <w:bidi/>
        <w:spacing w:line="360" w:lineRule="auto" w:after="120" w:before="16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נתחיל בהגדרות. רשתות חברתיות הן פלטפורמות מקוונות המאפשרות למשתמשים ליצור פרופיל, לשתף תכנים ולתקשר זה עם זה. שיימינג, או ביוש, הוא פעילות תוקפנית ומכוונת שמטרתה לפגוע באדם אחר באמצעים דיגיטליים. אצל ילדים ובני נוער בישראל הזירה המרכזית לכך היא קבוצת הווטסאפ הכיתתית. מחקר חלוץ שהשתתפו בו 1,111 תלמידים מכיתות ד' עד י"ב מצא שלרוב המכריע יש קבוצת ווטסאפ כיתתית וחשוב להם להשתייך אליה, ובה בעת רובם חווים בה שיימינג, כקרבנות או כעדים. הביטוי הנפוץ ביותר היה עלבונות, ואחריו קללות, הוצאה כפויה מהקבוצה והעלאת תמונות מביכות. עדות לשיימינג נמצאה שכיחה יותר מהיפגעות ישירה, ונמצאו גם הבדלים בביטויי השיימינג לפי גיל המסגרת החינוכית (איזנקוט, 2017).</w:t>
      </w:r>
    </w:p>
    <w:p>
      <w:pPr>
        <w:bidi/>
        <w:spacing w:line="360" w:lineRule="auto" w:after="200" w:before="0"/>
        <w:jc w:val="both"/>
      </w:pPr>
      <w:r>
        <w:rPr>
          <w:rFonts w:ascii="David" w:hAnsi="David" w:cs="David"/>
          <w:b w:val="0"/>
          <w:sz w:val="24"/>
          <w:szCs w:val="24"/>
          <w:rtl w:val="1"/>
        </w:rPr>
        <w:t>מבחינה תיאורטית נהוג לבחון את התופעה מתוך גישה חברתית-אקולוגית, הרואה את התנהגות המתבגר כתוצר של יחסי הגומלין בינו לבין סביבותיו. בריונות ברשת מוגדרת כהתנהגות תוקפנית ומכוונת, חוזרת ולאורך זמן, נגד מי שמתקשה להגן על עצמו, והיא מתאפיינת לעיתים באנונימיות של הפוגע ובחשיפה לקהל רחב. מכאן עולה השאלה מי נפגע יותר. מחקר שהשתתפו בו 482 מתבגרים, מהם 140 עם הפרעת קשב והיפראקטיביות, מצא שתלמידים עם הפרעת קשב מעורבים יותר בבריונות ברשת, כקרבנות, כפוגעים וכעדים. אלה מהם שנחשפו כעדים לבריונות דיווחו על בדידות חברתית ורגשית גבוהה יותר ועל מסוגלות עצמית חברתית נמוכה יותר מתלמידים ללא לקות (היימן, אולניק-שמש ועדן, 2014).</w:t>
      </w:r>
    </w:p>
    <w:p>
      <w:pPr>
        <w:bidi/>
        <w:spacing w:line="360" w:lineRule="auto" w:after="200" w:before="0"/>
        <w:jc w:val="both"/>
      </w:pPr>
      <w:r>
        <w:rPr>
          <w:rFonts w:ascii="David" w:hAnsi="David" w:cs="David"/>
          <w:b w:val="0"/>
          <w:sz w:val="24"/>
          <w:szCs w:val="24"/>
          <w:rtl w:val="1"/>
        </w:rPr>
        <w:t>התמונה מתרחבת כשמביאים בחשבון את עוצמת השימוש עצמו. מחקר שנערך בקרב סטודנטים, על רקע ההשלכות של תקופת הקורונה, מצא שבילוי של יותר משלוש שעות ביום ברשתות עלול להוביל להתמכרות, הקשורה בעלייה בבדידות ובדיכאון ובירידה במסוגלות הלימודית ובהישגים. מנגד, כישורי פתרון בעיות ושביעות רצון מהחיים נמצאו קשורים בהישגים גבוהים יותר. הבדידות חוזרת אפוא כחוליה מרכזית, הן כמלווה של פגיעה ברשת והן כתוצאה של שימוש מופרז (Aslan &amp; Polat, 2024).</w:t>
      </w:r>
    </w:p>
    <w:p>
      <w:pPr>
        <w:bidi/>
        <w:spacing w:line="360" w:lineRule="auto" w:after="120" w:before="16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ילדים ומתבגרים חווים שיימינג והטרדה בהיקף רחב, כבר מגיל צעיר ובתוך הקבוצה הכיתתית עצמה (איזנקוט, 2017). ההיפגעות אינה מסתכמת ברגע הפגיעה, אלא קשורה בבדידות ובמסוגלות חברתית נמוכה, ואוכלוסיות מסוימות כמו תלמידים עם הפרעת קשב חשופות לה יותר (היימן, אולניק-שמש ועדן, 2014). כשמוסיפים לכך את ההשלכות של שימוש מופרז על הרווחה הנפשית ועל התפקוד הלימודי, מתחדדת המסקנה החינוכית. המענה אינו יכול להסתפק בחסימה טכנית או באיסור. עליו לחזק את המשאבים החברתיים-רגשיים של הלומד, לזהות מוקדם אוכלוסיות פגיעות ולערב את ההורים ואת צוות בית הספר בבניית אקלים כיתתי בטוח. מעורבות המבוגרים חשובה במיוחד משום שהפגיעה מתרחשת במרחב שהם אינם רואים. מחקרים עתידיים ראוי שיבחנו את הקשרים האלה לאורך זמן ובקרב אוכלוסיות מגוונות, כדי לבסס המלצות מעשיות למורים ולהורים (Aslan &amp; Polat, 2024).</w:t>
      </w:r>
    </w:p>
    <w:p>
      <w:r>
        <w:br w:type="page"/>
      </w:r>
    </w:p>
    <w:p>
      <w:pPr>
        <w:bidi/>
        <w:spacing w:line="360" w:lineRule="auto" w:after="200" w:before="16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איזנקוט, ד' (2017). שיימינג בווטסאפ בקרב ילדים ובני נוער בישראל: מחקר חלוץ. הייעוץ החינוכי, כ, 357–383.</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20" w:before="16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80" w:before="80"/>
        <w:jc w:val="right"/>
      </w:pPr>
      <w:r>
        <w:rPr>
          <w:rFonts w:ascii="David" w:hAnsi="David" w:cs="David"/>
          <w:b/>
          <w:sz w:val="24"/>
          <w:szCs w:val="24"/>
          <w:rtl w:val="1"/>
          <w:bCs/>
        </w:rPr>
        <w:t>שאלת המחקר</w:t>
      </w:r>
    </w:p>
    <w:p>
      <w:pPr>
        <w:bidi/>
        <w:spacing w:line="360" w:lineRule="auto" w:after="200" w:before="0"/>
        <w:jc w:val="both"/>
      </w:pPr>
      <w:r>
        <w:rPr>
          <w:rFonts w:ascii="David" w:hAnsi="David" w:cs="David"/>
          <w:b w:val="0"/>
          <w:sz w:val="24"/>
          <w:szCs w:val="24"/>
          <w:rtl w:val="1"/>
        </w:rPr>
        <w:t>האם תלמידים עם הפרעת קשב והיפראקטיביות מעורבים בבריונות ברשת יותר מתלמידים ללא לקות, ומהו הקשר בין מעורבות זו לבין המסוגלות העצמית החברתית, תחושת הבדידות והתמיכה החברתית שלהם?</w:t>
      </w:r>
    </w:p>
    <w:p>
      <w:pPr>
        <w:bidi/>
        <w:spacing w:line="360" w:lineRule="auto" w:after="80" w:before="80"/>
        <w:jc w:val="right"/>
      </w:pPr>
      <w:r>
        <w:rPr>
          <w:rFonts w:ascii="David" w:hAnsi="David" w:cs="David"/>
          <w:b/>
          <w:sz w:val="24"/>
          <w:szCs w:val="24"/>
          <w:rtl w:val="1"/>
          <w:bCs/>
        </w:rPr>
        <w:t>סקירת הספרות</w:t>
      </w:r>
    </w:p>
    <w:p>
      <w:pPr>
        <w:bidi/>
        <w:spacing w:line="360" w:lineRule="auto" w:after="200" w:before="0"/>
        <w:jc w:val="both"/>
      </w:pPr>
      <w:r>
        <w:rPr>
          <w:rFonts w:ascii="David" w:hAnsi="David" w:cs="David"/>
          <w:b w:val="0"/>
          <w:sz w:val="24"/>
          <w:szCs w:val="24"/>
          <w:rtl w:val="1"/>
        </w:rPr>
        <w:t>סקירת הספרות במאמר עוסקת בהגדרת בריונות ברשת ובמאפייניה הייחודיים, בשכיחות התופעה בקרב מתבגרים, ובקשריה עם מסוגלות עצמית חברתית, תחושת בדידות ותמיכה חברתית. כן נדונה הפגיעוּת המוגברת של תלמידים עם הפרעת קשב והיפראקטיביות.</w:t>
      </w:r>
    </w:p>
    <w:p>
      <w:pPr>
        <w:bidi/>
        <w:spacing w:line="360" w:lineRule="auto" w:after="80" w:before="80"/>
        <w:jc w:val="right"/>
      </w:pPr>
      <w:r>
        <w:rPr>
          <w:rFonts w:ascii="David" w:hAnsi="David" w:cs="David"/>
          <w:b/>
          <w:sz w:val="24"/>
          <w:szCs w:val="24"/>
          <w:rtl w:val="1"/>
          <w:bCs/>
        </w:rPr>
        <w:t>השערות המחקר</w:t>
      </w:r>
    </w:p>
    <w:p>
      <w:pPr>
        <w:bidi/>
        <w:spacing w:line="360" w:lineRule="auto" w:after="200" w:before="0"/>
        <w:jc w:val="both"/>
      </w:pPr>
      <w:r>
        <w:rPr>
          <w:rFonts w:ascii="David" w:hAnsi="David" w:cs="David"/>
          <w:b w:val="0"/>
          <w:sz w:val="24"/>
          <w:szCs w:val="24"/>
          <w:rtl w:val="1"/>
        </w:rPr>
        <w:t>(1) תלמידים עם הפרעת קשב יהיו מעורבים יותר בהתנסויות ברשת, כקרבנות וכפוגעים, מתלמידים ללא לקות. (2) יימצא קשר בין מעורבות בבריונות ברשת לבין מסוגלות עצמית חברתית נמוכה, בדידות רבה ותמיכה חברתית מועטה. (3) תלמידים עם הפרעת קשב ידווחו על מסוגלות עצמית חברתית נמוכה יותר, בדידות גבוהה יותר ותמיכה חברתית מועטה יותר מתלמידים ללא לקות.</w:t>
      </w:r>
    </w:p>
    <w:p>
      <w:pPr>
        <w:bidi/>
        <w:spacing w:line="360" w:lineRule="auto" w:after="80" w:before="80"/>
        <w:jc w:val="right"/>
      </w:pPr>
      <w:r>
        <w:rPr>
          <w:rFonts w:ascii="David" w:hAnsi="David" w:cs="David"/>
          <w:b/>
          <w:sz w:val="24"/>
          <w:szCs w:val="24"/>
          <w:rtl w:val="1"/>
          <w:bCs/>
        </w:rPr>
        <w:t>שיטת המחקר</w:t>
      </w:r>
    </w:p>
    <w:p>
      <w:pPr>
        <w:bidi/>
        <w:spacing w:line="360" w:lineRule="auto" w:after="120"/>
        <w:ind w:right="360"/>
        <w:jc w:val="both"/>
      </w:pPr>
      <w:r>
        <w:rPr>
          <w:rFonts w:ascii="David" w:hAnsi="David" w:cs="David"/>
          <w:b/>
          <w:sz w:val="24"/>
          <w:szCs w:val="24"/>
          <w:rtl w:val="1"/>
          <w:bCs/>
        </w:rPr>
        <w:t xml:space="preserve">הנבדקים: </w:t>
      </w:r>
      <w:r>
        <w:rPr>
          <w:rFonts w:ascii="David" w:hAnsi="David" w:cs="David"/>
          <w:b w:val="0"/>
          <w:sz w:val="24"/>
          <w:szCs w:val="24"/>
          <w:rtl w:val="1"/>
        </w:rPr>
        <w:t>482 תלמידים משלוש חטיבות ביניים ושני בתי ספר תיכוניים, שנבחרו באופן אקראי: 140 תלמידים עם הפרעת קשב והיפראקטיביות ו-342 תלמידים ללא לקות, בכיתות ז' עד י' (גיל ממוצע 14.38).</w:t>
      </w:r>
    </w:p>
    <w:p>
      <w:pPr>
        <w:bidi/>
        <w:spacing w:line="360" w:lineRule="auto" w:after="120"/>
        <w:ind w:right="360"/>
        <w:jc w:val="both"/>
      </w:pPr>
      <w:r>
        <w:rPr>
          <w:rFonts w:ascii="David" w:hAnsi="David" w:cs="David"/>
          <w:b/>
          <w:sz w:val="24"/>
          <w:szCs w:val="24"/>
          <w:rtl w:val="1"/>
          <w:bCs/>
        </w:rPr>
        <w:t xml:space="preserve">כלי המחקר: </w:t>
      </w:r>
      <w:r>
        <w:rPr>
          <w:rFonts w:ascii="David" w:hAnsi="David" w:cs="David"/>
          <w:b w:val="0"/>
          <w:sz w:val="24"/>
          <w:szCs w:val="24"/>
          <w:rtl w:val="1"/>
        </w:rPr>
        <w:t>ארבעה שאלוני דיווח עצמי: שאלון מעורבות בבריונות ברשת (Smith ועמיתיו, 2008, שתורגם ועובד לעברית), שאלון מסוגלות עצמית לילדים (Muris, 2001) הכולל תת-סולם מסוגלות עצמית חברתית, שאלון תחושת בדידות (חברתית ורגשית), ושאלון תמיכה חברתית נתפסת (Zimet ועמיתיו, 1988).</w:t>
      </w:r>
    </w:p>
    <w:p>
      <w:pPr>
        <w:bidi/>
        <w:spacing w:line="360" w:lineRule="auto" w:after="120"/>
        <w:ind w:right="360"/>
        <w:jc w:val="both"/>
      </w:pPr>
      <w:r>
        <w:rPr>
          <w:rFonts w:ascii="David" w:hAnsi="David" w:cs="David"/>
          <w:b/>
          <w:sz w:val="24"/>
          <w:szCs w:val="24"/>
          <w:rtl w:val="1"/>
          <w:bCs/>
        </w:rPr>
        <w:t xml:space="preserve">הליך המחקר: </w:t>
      </w:r>
      <w:r>
        <w:rPr>
          <w:rFonts w:ascii="David" w:hAnsi="David" w:cs="David"/>
          <w:b w:val="0"/>
          <w:sz w:val="24"/>
          <w:szCs w:val="24"/>
          <w:rtl w:val="1"/>
        </w:rPr>
        <w:t>כל משתתף מילא את ארבעת השאלונים במהלך שיעור בכיתה. ההשתתפות הייתה אנונימית.</w:t>
      </w:r>
    </w:p>
    <w:p>
      <w:pPr>
        <w:bidi/>
        <w:spacing w:line="360" w:lineRule="auto" w:after="80" w:before="80"/>
        <w:jc w:val="right"/>
      </w:pPr>
      <w:r>
        <w:rPr>
          <w:rFonts w:ascii="David" w:hAnsi="David" w:cs="David"/>
          <w:b/>
          <w:sz w:val="24"/>
          <w:szCs w:val="24"/>
          <w:rtl w:val="1"/>
          <w:bCs/>
        </w:rPr>
        <w:t>ממצאים</w:t>
      </w:r>
    </w:p>
    <w:p>
      <w:pPr>
        <w:bidi/>
        <w:spacing w:line="360" w:lineRule="auto" w:after="200" w:before="0"/>
        <w:jc w:val="both"/>
      </w:pPr>
      <w:r>
        <w:rPr>
          <w:rFonts w:ascii="David" w:hAnsi="David" w:cs="David"/>
          <w:b w:val="0"/>
          <w:sz w:val="24"/>
          <w:szCs w:val="24"/>
          <w:rtl w:val="1"/>
        </w:rPr>
        <w:t>תלמידים עם הפרעת קשב דיווחו על מעורבות גבוהה יותר בבריונות ברשת, הן כקרבנות, הן כפוגעים והן כעדים, בהשוואה לתלמידים ללא לקות. ניתוחי שונות רב-משתנית דו-כיווניים העלו שתלמידים עם הפרעת קשב שהיו עדים לבריונות ברשת דיווחו על תחושות בדידות חברתית ורגשית גבוהות יותר ועל מסוגלות עצמית חברתית נמוכה יותר מתלמידים ללא לקות.</w:t>
      </w:r>
    </w:p>
    <w:p>
      <w:pPr>
        <w:bidi/>
        <w:spacing w:line="360" w:lineRule="auto" w:after="80" w:before="80"/>
        <w:jc w:val="right"/>
      </w:pPr>
      <w:r>
        <w:rPr>
          <w:rFonts w:ascii="David" w:hAnsi="David" w:cs="David"/>
          <w:b/>
          <w:sz w:val="24"/>
          <w:szCs w:val="24"/>
          <w:rtl w:val="1"/>
          <w:bCs/>
        </w:rPr>
        <w:t>דיון, מסקנות והמלצות</w:t>
      </w:r>
    </w:p>
    <w:p>
      <w:pPr>
        <w:bidi/>
        <w:spacing w:line="360" w:lineRule="auto" w:after="200" w:before="0"/>
        <w:jc w:val="both"/>
      </w:pPr>
      <w:r>
        <w:rPr>
          <w:rFonts w:ascii="David" w:hAnsi="David" w:cs="David"/>
          <w:b w:val="0"/>
          <w:sz w:val="24"/>
          <w:szCs w:val="24"/>
          <w:rtl w:val="1"/>
        </w:rPr>
        <w:t>מתבגרים עם הפרעת קשב נמצאים בסיכון מוגבר למעורבות בבריונות ברשת ולהשלכותיה החברתיות-רגשיות. החוקרים ממליצים על מחקרי המשך שיבחנו את תרומתם של מאפיינים אישיים וסביבתיים להתמודדות יעילה, ועל פיתוח תוכניות מניעה והתערבות בבתי הספר, בדגש על אוכלוסיות בסיכון.</w:t>
      </w:r>
    </w:p>
    <w:p>
      <w:pPr>
        <w:bidi/>
        <w:spacing w:line="360" w:lineRule="auto" w:after="80" w:before="80"/>
        <w:jc w:val="right"/>
      </w:pPr>
      <w:r>
        <w:rPr>
          <w:rFonts w:ascii="David" w:hAnsi="David" w:cs="David"/>
          <w:b/>
          <w:sz w:val="24"/>
          <w:szCs w:val="24"/>
          <w:rtl w:val="1"/>
          <w:bCs/>
        </w:rPr>
        <w:t>מגבלות המחקר</w:t>
      </w:r>
    </w:p>
    <w:p>
      <w:pPr>
        <w:bidi/>
        <w:spacing w:line="360" w:lineRule="auto" w:after="200" w:before="0"/>
        <w:jc w:val="both"/>
      </w:pPr>
      <w:r>
        <w:rPr>
          <w:rFonts w:ascii="David" w:hAnsi="David" w:cs="David"/>
          <w:b w:val="0"/>
          <w:sz w:val="24"/>
          <w:szCs w:val="24"/>
          <w:rtl w:val="1"/>
        </w:rPr>
        <w:t>ההסתמכות על שאלוני דיווח עצמי עלולה להטות את הממצאים, והפער המספרי בין הקבוצות והיעדר דגימה מבוקרת של קבוצת ההשוואה מגבילים את יכולת ההכללה.</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