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7622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333500"/>
                    </a:xfrm>
                    <a:prstGeom prst="rect">
                      <a:avLst/>
                    </a:prstGeom>
                  </pic:spPr>
                </pic:pic>
              </a:graphicData>
            </a:graphic>
          </wp:inline>
        </w:drawing>
      </w:r>
    </w:p>
    <w:p>
      <w:pPr>
        <w:bidi/>
        <w:spacing w:after="160" w:before="0" w:line="360"/>
        <w:jc w:val="center"/>
      </w:pPr>
      <w:r>
        <w:rPr>
          <w:rFonts w:ascii="David" w:cs="David" w:eastAsia="David" w:hAnsi="David"/>
          <w:b/>
          <w:bCs/>
          <w:i w:val="false"/>
          <w:iCs w:val="false"/>
          <w:sz w:val="26"/>
          <w:szCs w:val="26"/>
          <w:rtl/>
        </w:rPr>
        <w:t xml:space="preserve">מכללת לוינסקי לחינוך</w:t>
      </w:r>
    </w:p>
    <w:p>
      <w:pPr>
        <w:bidi/>
        <w:spacing w:after="160" w:before="0" w:line="360"/>
        <w:jc w:val="center"/>
      </w:pPr>
      <w:r>
        <w:rPr>
          <w:rFonts w:ascii="David" w:cs="David" w:eastAsia="David" w:hAnsi="David"/>
          <w:b w:val="false"/>
          <w:bCs w:val="false"/>
          <w:i w:val="false"/>
          <w:iCs w:val="false"/>
          <w:sz w:val="26"/>
          <w:szCs w:val="26"/>
          <w:rt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rPr>
        <w:t xml:space="preserve">ת"ז: 209059989</w:t>
      </w:r>
    </w:p>
    <w:p>
      <w:pPr>
        <w:bidi/>
        <w:spacing w:after="160" w:before="0" w:line="360"/>
        <w:jc w:val="center"/>
      </w:pPr>
      <w:r>
        <w:rPr>
          <w:rFonts w:ascii="David" w:cs="David" w:eastAsia="David" w:hAnsi="David"/>
          <w:b w:val="false"/>
          <w:bCs w:val="false"/>
          <w:i w:val="false"/>
          <w:iCs w:val="false"/>
          <w:sz w:val="26"/>
          <w:szCs w:val="26"/>
          <w:rt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24"/>
          <w:szCs w:val="24"/>
          <w:rtl/>
        </w:rPr>
        <w:t xml:space="preserve">תקציר</w:t>
      </w:r>
    </w:p>
    <w:p>
      <w:pPr>
        <w:bidi/>
        <w:spacing w:after="120" w:before="0" w:line="360"/>
        <w:jc w:val="both"/>
      </w:pPr>
      <w:r>
        <w:rPr>
          <w:rFonts w:ascii="David" w:cs="David" w:eastAsia="David" w:hAnsi="David"/>
          <w:b w:val="false"/>
          <w:bCs w:val="false"/>
          <w:i w:val="false"/>
          <w:iCs w:val="false"/>
          <w:sz w:val="24"/>
          <w:szCs w:val="24"/>
          <w:rtl/>
        </w:rPr>
        <w:t xml:space="preserve">עבודה זו עוסקת בטכנולוגיה בבית הספר העתידי ובהשפעתה על תהליכי הוראה ולמידה, מנקודת מבטן של מורות בבית הספר היסודי. הספרות המחקרית מבחינה בין דיגיטציה של פרקטיקה קיימת לבין שינוי פדגוגי, ומצביעה על כך שיתרונות הטכנולוגיה, ובהם מוטיבציה, המחשה, התאמה לשונות ומשוב מיידי, מותנים בעיצוב, במינון ובכשירות הדיגיטלית של המורה. האתגרים המתוארים בספרות, הסחות דעת, תלות בתשתית ופער דיגיטלי, נוגעים ליחסים בכיתה ולצדק חינוכי, אך קולן המפורט של מורות יסודי בישראל נשמע במחקר מעט. מטרת המחקר הייתה לבחון כיצד מורות בבית הספר היסודי תופסות את 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המתודולוגיה של שקדי. נערכו ראיונות עומק חצי־מובנים בני עשרים שאלות עם חמש מורות בבתי ספר יסודיים ממלכתיים בארבעה אזורים בישראל, בנות 29 עד 45 ובעלות ותק של 5 עד 20 שנים בהוראה. הראיונות תומללו במלואם, כולל ציון של תגובות רגשיות, ונותחו במודל ארבעת שלבי הניתוח של שקדי. מן הניתוח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כל אחת בנפרד, פרקטיקות דומות להתמודדות עם הסחות דעת ועם פערים, ורואות את ליבת תפקידן, ההיכרות עם הילד, כקבועה. המסקנה המרכזית היא שערכה של הטכנולוגיה נקבע במטרה הפדגוגית ובמשימה ולא בכלי, ושהתנאי למימוש יתרונותיה הוא מורה שיש לה זמן, הכשרה המתחילה מהפדגוגיה, קהילת עמיתים ותשתית פועלת. מן הממצאים נגזרות המלצות מעשיות, ובהן שעה שבועית קבועה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24"/>
          <w:szCs w:val="24"/>
          <w:rtl/>
        </w:rPr>
        <w:t xml:space="preserve">תוכן עניינים</w:t>
      </w:r>
    </w:p>
    <w:sdt>
      <w:sdtPr>
        <w:alias w:val="תוכן עניינים"/>
      </w:sdtPr>
      <w:sdtContent>
        <w:p>
          <w:r>
            <w:fldChar w:fldCharType="begin" w:dirty="true"/>
            <w:instrText xml:space="preserve">TOC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24"/>
          <w:szCs w:val="24"/>
          <w:rtl/>
        </w:rPr>
        <w:t xml:space="preserve">1. מבוא</w:t>
      </w:r>
    </w:p>
    <w:p>
      <w:pPr>
        <w:bidi/>
        <w:spacing w:after="120" w:before="0" w:line="360"/>
        <w:jc w:val="both"/>
      </w:pPr>
      <w:r>
        <w:rPr>
          <w:rFonts w:ascii="David" w:cs="David" w:eastAsia="David" w:hAnsi="David"/>
          <w:b w:val="false"/>
          <w:bCs w:val="false"/>
          <w:i w:val="false"/>
          <w:iCs w:val="false"/>
          <w:sz w:val="24"/>
          <w:szCs w:val="24"/>
          <w:rt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(Akram et al., 2022; Amemasor et al., 2025).</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(Skantz-Åberg et al., 2022).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Frei-Landau &amp; Avidov-Ungar, 2022; Masry-Herzallah, 2022). כניסתם של כלי בינה מלאכותית יוצרת לכיתות ולבתים משנת 2023 הוסיפה ממד נוסף, המערער על דרכי ההערכה המקובלות ומחייב חשיבה מחודשת על תפקיד המורה (מישר-טל, 2024; Tripathi et al., 2025).</w:t>
      </w:r>
    </w:p>
    <w:p>
      <w:pPr>
        <w:bidi/>
        <w:spacing w:after="120" w:before="0" w:line="360"/>
        <w:jc w:val="both"/>
      </w:pPr>
      <w:r>
        <w:rPr>
          <w:rFonts w:ascii="David" w:cs="David" w:eastAsia="David" w:hAnsi="David"/>
          <w:b w:val="false"/>
          <w:bCs w:val="false"/>
          <w:i w:val="false"/>
          <w:iCs w:val="false"/>
          <w:sz w:val="24"/>
          <w:szCs w:val="24"/>
          <w:rt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(Alberola-Mulet et al., 2021; Simon &amp; Zeng, 2024).</w:t>
      </w:r>
    </w:p>
    <w:p>
      <w:pPr>
        <w:bidi/>
        <w:spacing w:after="120" w:before="0" w:line="360"/>
        <w:jc w:val="both"/>
      </w:pPr>
      <w:r>
        <w:rPr>
          <w:rFonts w:ascii="David" w:cs="David" w:eastAsia="David" w:hAnsi="David"/>
          <w:b w:val="false"/>
          <w:bCs w:val="false"/>
          <w:i w:val="false"/>
          <w:iCs w:val="false"/>
          <w:sz w:val="24"/>
          <w:szCs w:val="24"/>
          <w:rt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24"/>
          <w:szCs w:val="24"/>
          <w:rtl/>
        </w:rPr>
        <w:t xml:space="preserve">2. סקירת ספרות</w:t>
      </w:r>
    </w:p>
    <w:p>
      <w:pPr>
        <w:bidi/>
        <w:spacing w:after="120" w:before="0" w:line="360"/>
        <w:jc w:val="both"/>
      </w:pPr>
      <w:r>
        <w:rPr>
          <w:rFonts w:ascii="David" w:cs="David" w:eastAsia="David" w:hAnsi="David"/>
          <w:b w:val="false"/>
          <w:bCs w:val="false"/>
          <w:i w:val="false"/>
          <w:iCs w:val="false"/>
          <w:sz w:val="24"/>
          <w:szCs w:val="24"/>
          <w:rt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לנוכח כלי הבינה המלאכותית היוצרת ובהצגת מטרת המחקר. בכל תת־פרק מובאים מחקרים מן העולם לצד מחקרים שנערכו בישראל, ומודגשים הפערים שהמחקר הנוכחי מבקש למלא.</w:t>
      </w:r>
    </w:p>
    <w:p>
      <w:pPr>
        <w:pStyle w:val="Heading2"/>
        <w:bidi/>
        <w:spacing w:after="120" w:before="200" w:line="360"/>
        <w:jc w:val="right"/>
      </w:pPr>
      <w:r>
        <w:rPr>
          <w:rFonts w:ascii="David" w:cs="David" w:eastAsia="David" w:hAnsi="David"/>
          <w:b/>
          <w:bCs/>
          <w:i w:val="false"/>
          <w:iCs w:val="false"/>
          <w:sz w:val="24"/>
          <w:szCs w:val="24"/>
          <w:rt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(Akram et al., 2022).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rPr>
        <w:t xml:space="preserve">ההבחנה בין עמדה לפרקטיקה מקבלת חיזוק ממחקר איכותני שנערך בקרב מורות בגן ובבית ספר יסודי בספרד באמצעות ראיונות פתוחים ומוקלטים. המורות העריכו משאבים דיגיטליים בעיקר כמנוף למוטיבציה של התלמידים, ולא כגורם המשנה את הפדגוגיה, ולא הייתה ביניהן הסכמה על מידת השילוב הרצויה. המורות ציינו גם מגבלות הקשורות להכשרה הדיגיטלית של התלמידים עצמם, ולצורך במודלים פדגוגיים, בניסיון, בכשירות טכנולוגית ובפיתוח מקצועי (Alberola-Mulet et al., 2021). ממצא זה מלמד שהמחלוקת בין מורים אינה על עצם השילוב אלא על מינונו ועל תנאיו, וכי גם מורים בעלי עמדה חיובית מפרשים את הטכנולוגיה קודם כול דרך השפעתה על ההתנהגות של התלמידים בכיתה.</w:t>
      </w:r>
    </w:p>
    <w:p>
      <w:pPr>
        <w:bidi/>
        <w:spacing w:after="120" w:before="0" w:line="360"/>
        <w:jc w:val="both"/>
      </w:pPr>
      <w:r>
        <w:rPr>
          <w:rFonts w:ascii="David" w:cs="David" w:eastAsia="David" w:hAnsi="David"/>
          <w:b w:val="false"/>
          <w:bCs w:val="false"/>
          <w:i w:val="false"/>
          <w:iCs w:val="false"/>
          <w:sz w:val="24"/>
          <w:szCs w:val="24"/>
          <w:rt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מחקר ישראלי קודם, שראיין שלושים גננות על מכשולים בהטמעת התקשוב, מצא דפוס דומה בגיל הרך: הגננות הכירו בתרומה הקוגניטיבית של המחשב לחשיבה החזותית, הלוגית והיצירתית של הילדים, אך הצביעו על חסמי תשתית, הכשרה וזמן כמעכבים העיקריים (מגן-נגר ופירסטטר, 2017). שני המחקרים הישראליים מחזקים את הצורך לבחון את תפיסות המורות ואת הפרקטיקות שהן מתארות, ולא את זמינות הציוד בלבד.</w:t>
      </w:r>
    </w:p>
    <w:p>
      <w:pPr>
        <w:bidi/>
        <w:spacing w:after="120" w:before="0" w:line="360"/>
        <w:jc w:val="both"/>
      </w:pPr>
      <w:r>
        <w:rPr>
          <w:rFonts w:ascii="David" w:cs="David" w:eastAsia="David" w:hAnsi="David"/>
          <w:b w:val="false"/>
          <w:bCs w:val="false"/>
          <w:i w:val="false"/>
          <w:iCs w:val="false"/>
          <w:sz w:val="24"/>
          <w:szCs w:val="24"/>
          <w:rtl/>
        </w:rPr>
        <w:t xml:space="preserve">מן ההבחנה הזאת נגזרת שאלה שהמחקר הנוכחי מבקש לבחון: כאשר מורות בבית הספר היסודי מתארות שיעור שבו הטכנולוגיה "עבדה", האם הן מתארות דיגיטציה של פעילות מוכרת או שינוי במבנה הפעילות ובתפקיד התלמיד? ראיונות עומק, בניגוד לשאלונים, מאפשרים לבחון שאלה זו דרך סיפורי מקרה קונקרטיים.</w:t>
      </w:r>
    </w:p>
    <w:p>
      <w:pPr>
        <w:pStyle w:val="Heading2"/>
        <w:bidi/>
        <w:spacing w:after="120" w:before="200" w:line="360"/>
        <w:jc w:val="right"/>
      </w:pPr>
      <w:r>
        <w:rPr>
          <w:rFonts w:ascii="David" w:cs="David" w:eastAsia="David" w:hAnsi="David"/>
          <w:b/>
          <w:bCs/>
          <w:i w:val="false"/>
          <w:iCs w:val="false"/>
          <w:sz w:val="24"/>
          <w:szCs w:val="24"/>
          <w:rt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הטכנולוגיה בהקשר זה היא כפולת פנים: היא כלי המאפשר לתרגל מיומנויות אלה, והיא גם תחום כשירות בפני עצמו, המחייב את התלמידים להעריך מידע, לבחור מקורות ולשמור על פרטיות.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(Amemasor et al., 2025).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rPr>
        <w:t xml:space="preserve">מהי, אם כן, הכשירות הנדרשת מן המורה? סקירה מושגית של ספרות המחקר בין 2010 ל־2019 זיהתה שבעה היבטים של הכשירות הדיגיטלית המקצועית של מורים: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וכי הכשירות תלוית הקשר ומשתנה בין מערכות חינוך (Skantz-Åberg et al., 2022). הבחנה זו חשובה למחקר הנוכחי, משום שהיא מאפשרת לבחון האם ההכשרה שהמורות מתארות עוסקת בהפעלת כלים או בשיקול דעת, ואילו היבטים של הכשירות הן חשות שחסרים להן.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נתפסת בספרות כ"חלון הזדמנויות" לחדשנות דיגיטלית. מחקר איכותני בקרב חמישה עשר נציגי בתי ספר באיטליה, בספרד ובטורקיה בחן את חוויות המגפה ואת ההזדמנויות לפיתוח מקצועי בעקבותיה, ובחן מחדש את המושגים סוכנות (agency) של המורה, למידה ברשת ושינוי ארגוני. המחקר טען שהחלון ייסגר אם הפיתוח המקצועי לא יעוצב מחדש סביב סוכנות ורשתות מקצועיות, במקום סביב הדרכה טכנית חד־פעמית (Eradze et al., 2023). מחקר ישראלי שעקב אחר צוות מחנכות לפני הקורונה, במהלכה ואחריה, באמצעות ניתוח של אירועים חוזרים ודילמות בארגון בית הספר,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bidi/>
        <w:spacing w:after="120" w:before="0" w:line="360"/>
        <w:jc w:val="both"/>
      </w:pPr>
      <w:r>
        <w:rPr>
          <w:rFonts w:ascii="David" w:cs="David" w:eastAsia="David" w:hAnsi="David"/>
          <w:b w:val="false"/>
          <w:bCs w:val="false"/>
          <w:i w:val="false"/>
          <w:iCs w:val="false"/>
          <w:sz w:val="24"/>
          <w:szCs w:val="24"/>
          <w:rtl/>
        </w:rPr>
        <w:t xml:space="preserve">מסקירה זו עולה שבית הספר העתידי אינו מוגדר בציוד שבו אלא בפדגוגיה שלו ובכשירות של מוריו, ושהשאלה מה נשאר מן ההזדמנות שיצרה הקורונה פתוחה. המחקר הנוכחי בוחן כיצד מורות יסודי מגדירות בעצמן את בית הספר העתידי, ומה, לתפיסתן, נשאר אצלן מתקופת הלמידה מרחוק.</w:t>
      </w:r>
    </w:p>
    <w:p>
      <w:pPr>
        <w:pStyle w:val="Heading2"/>
        <w:bidi/>
        <w:spacing w:after="120" w:before="200" w:line="360"/>
        <w:jc w:val="right"/>
      </w:pPr>
      <w:r>
        <w:rPr>
          <w:rFonts w:ascii="David" w:cs="David" w:eastAsia="David" w:hAnsi="David"/>
          <w:b/>
          <w:bCs/>
          <w:i w:val="false"/>
          <w:iCs w:val="false"/>
          <w:sz w:val="24"/>
          <w:szCs w:val="24"/>
          <w:rt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rPr>
        <w:t xml:space="preserve">אחד היתרונות המיוחסים בתדירות הגבוהה ביותר לכלים דיגיטליים הוא הגברת המוטיבציה והמעורבות של התלמידים, בעיקר באמצעות משחוק (gamification) ומערכות תגובה משחקיות. סקירת ספרות של תשעים ושלושה מחקרים על השימוש ב־Kahoot, כלי הנמצא בשימוש בכמחצית מבתי הספר בארצות הברית, מצאה השפעה חיובית על ביצועי למידה, על הדינמיקה הכיתתית, על עמדות ועל הפחתת חרדה. באותה סקירה תועדו גם תקלות טכניות, לחץ הנובע ממגבלת הזמן ומתשובות שגויות, ושחיקה כאשר הכלי נמצא בשימוש תדיר מדי (Wang &amp; Tahir, 2020). מטא־אנליזה של ארבעים ואחד מחקרים, ובהם ארבעים ותשעה מדגמים בלתי תלויים, מצאה השפעה ממוצעת גדולה של משחוק על תוצרי למידה, אך גם שונות ניכרת התלויה בסוג הלומדים, בתחום הדעת, בעקרונות העיצוב של המשחק, במשך ההתנסות ובסביבת הלמידה (Li et al., 2023). המסקנה המשותפת לשני המחקרים היא שההשפעה אינה תכונה של הכלי אלא של אופן השימוש בו.</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תשעים התערבויות משחוק בחינוך היסודי והעל־יסודי בין 2013 ל־2023 התמקדה במעורבות בית ספרית, ומצאה שרוב המחקרים מדווחים על תוצאות חיוביות במעורבות התנהגותית ורגשית, ואילו הראיות למעורבות קוגניטיבית וללמידה לטווח ארוך דלות יותר (Ramírez Ruiz et al., 2024). ממצא זה מעלה שאלה מרכזית למחקר הנוכחי: האם ההתלהבות שהמורות רואות בכיתה מתורגמת להבנה, וכיצד הן מבחינות בין השתיים. הבחנה זו נוגעת גם למקורה של המוטיבציה. מוטיבציה הנובעת מן החידוש של הכלי צפויה לדעוך עם השגרה, ואילו מוטיבציה הנובעת מתחושת הצלחה עשויה להישמר גם לאחר שהכלי חדל להיות חדש.</w:t>
      </w:r>
    </w:p>
    <w:p>
      <w:pPr>
        <w:bidi/>
        <w:spacing w:after="120" w:before="0" w:line="360"/>
        <w:jc w:val="both"/>
      </w:pPr>
      <w:r>
        <w:rPr>
          <w:rFonts w:ascii="David" w:cs="David" w:eastAsia="David" w:hAnsi="David"/>
          <w:b w:val="false"/>
          <w:bCs w:val="false"/>
          <w:i w:val="false"/>
          <w:iCs w:val="false"/>
          <w:sz w:val="24"/>
          <w:szCs w:val="24"/>
          <w:rtl/>
        </w:rPr>
        <w:t xml:space="preserve">בישראל, מחקר על שילוב משחקים דיגיטליים בבתי ספר יסודיים מנקודת מבטם של המורים מצא שהשילוב תלוי בידע הפדגוגי־טכנולוגי של המורה ובתכנון מכוון, ולא בזמינות המשחק בלבד (חודטוב ואבידב-אונגר, 2023). מחקר איכותני שנערך בבית ספר יסודי לאחר סדנה למורים על כלי החידון Quizizz ו־Kahoot מצא שמורים ותלמידים העדיפו את הראשון בשל מגוון סוגי השאלות וקלות השימוש, אך דיווחו על מגבלות של גישה לרשת, של מכסת גלישה ושל תלות התלמידים במכשירי ההורים (Wijayanti &amp; Prasadja, 2022). כלומר, גם כלי חידון פשוט, שהשפעתו על ההשתתפות ברורה, מוגבל בבתים דלי משאבים, וממצא זה מקשר בין תחום המוטיבציה לבין תחום הפער הדיגיטלי הנדון בהמשך.</w:t>
      </w:r>
    </w:p>
    <w:p>
      <w:pPr>
        <w:bidi/>
        <w:spacing w:after="120" w:before="0" w:line="360"/>
        <w:jc w:val="both"/>
      </w:pPr>
      <w:r>
        <w:rPr>
          <w:rFonts w:ascii="David" w:cs="David" w:eastAsia="David" w:hAnsi="David"/>
          <w:b w:val="false"/>
          <w:bCs w:val="false"/>
          <w:i w:val="false"/>
          <w:iCs w:val="false"/>
          <w:sz w:val="24"/>
          <w:szCs w:val="24"/>
          <w:rtl/>
        </w:rPr>
        <w:t xml:space="preserve">לסיכום, הספרות תומכת בטענה שכלים דיגיטליים מגבירים מעורבות, אך מסייגת אותה בשלושה אופנים: ההשפעה תלויה בעיצוב ובמינון, היא נשחקת בשימוש תדיר, והיא מתועדת בעיקר ברמה ההתנהגותית. המחקר הנוכחי בוחן כיצד מורות יסודי חוות סייגים אלה, וכיצד הן בודקות מה תלמידיהן למדו מעבר להתלהבות.</w:t>
      </w:r>
    </w:p>
    <w:p>
      <w:pPr>
        <w:pStyle w:val="Heading2"/>
        <w:bidi/>
        <w:spacing w:after="120" w:before="200" w:line="360"/>
        <w:jc w:val="right"/>
      </w:pPr>
      <w:r>
        <w:rPr>
          <w:rFonts w:ascii="David" w:cs="David" w:eastAsia="David" w:hAnsi="David"/>
          <w:b/>
          <w:bCs/>
          <w:i w:val="false"/>
          <w:iCs w:val="false"/>
          <w:sz w:val="24"/>
          <w:szCs w:val="24"/>
          <w:rt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בכיתות הגבוהות של בית ספר יסודי בנורווגיה, שהטמיע טכנולוגיית למידה מסתגלת (adaptive learning technology) עם ניתוח נתוני למידה מובנה, בחן דרך שלוש עדשות מתודולוגיות כיצד המורים מנמקים את שילוב הטכנולוגיה וכיצד היא משפיעה על הידע המקצועי ועל ניהול הכיתה. המחקר מצא שהטכנולוגיה אינה מוציאה את המורה מתהליך ההתאמה, אלא מעבירה את עבודתו לפירוש הנתונים ולניהול הכיתה, ותיאר יתרונות של דיפרנציאציה ותובנה אבחונית לצד דילמות חדשות באקולוגיית הלמידה של בית הספר היסודי (Moltudal et al., 2022). המחברים ציינו כי טכנולוגיה מסתגלת נחקרה עד כה בעיקר בהשכלה הגבוהה, וכי מעט ידוע על מורי היסודי.</w:t>
      </w:r>
    </w:p>
    <w:p>
      <w:pPr>
        <w:bidi/>
        <w:spacing w:after="120" w:before="0" w:line="360"/>
        <w:jc w:val="both"/>
      </w:pPr>
      <w:r>
        <w:rPr>
          <w:rFonts w:ascii="David" w:cs="David" w:eastAsia="David" w:hAnsi="David"/>
          <w:b w:val="false"/>
          <w:bCs w:val="false"/>
          <w:i w:val="false"/>
          <w:iCs w:val="false"/>
          <w:sz w:val="24"/>
          <w:szCs w:val="24"/>
          <w:rtl/>
        </w:rPr>
        <w:t xml:space="preserve">ניתוח של מאה וארבעה עשר פוסטים של אנשי חינוך בפינלנד, באמצעות ניתוח תמטי וניתוח רשתות אפיסטמיות, מצא שהם רואים בטכנולוגיה מסתגלת כלי עזר לדיפרנציאציה ולהפחתת עומס, ולא תחליף למורה, וכי הליבה היחסית והפדגוגית של ההוראה נתפסת כבלתי ניתנת לאוטומציה. החששות שהעלו נגעו לפדגוגיה, לאתיקה ולשינוי באופי המקצוע (Merikko &amp; Kivimäki, 2022). סקירה ממפה של מחקרים אמפיריים על נקודת מבטם של מורים מצאה שמורים מעריכים מערכות מסתגלות בעיקר בזכות המידע האבחוני שהן מספקות, המאפשר דיפרנציאציה בתוך המערכת ובהוראה הכיתתית, אך מדווחים שההכשרה והזמן הדרושים כדי לפעול על פי מידע זה חסרים, ומעלים חששות בנוגע לנתונים, לאוטונומיה ולעומס. הסקירה הסיקה שנקודת מבטם של מורים מיוצגת פחות במחקר לעומת מחקרים על הישגי תלמידים (Simon &amp; Zeng, 2024).</w:t>
      </w:r>
    </w:p>
    <w:p>
      <w:pPr>
        <w:bidi/>
        <w:spacing w:after="120" w:before="0" w:line="360"/>
        <w:jc w:val="both"/>
      </w:pPr>
      <w:r>
        <w:rPr>
          <w:rFonts w:ascii="David" w:cs="David" w:eastAsia="David" w:hAnsi="David"/>
          <w:b w:val="false"/>
          <w:bCs w:val="false"/>
          <w:i w:val="false"/>
          <w:iCs w:val="false"/>
          <w:sz w:val="24"/>
          <w:szCs w:val="24"/>
          <w:rtl/>
        </w:rPr>
        <w:t xml:space="preserve">בתחום החינוך המכליל, סקירה שיטתית של מאה חמישים ותשעה מחקרים על טכנולוגיה לחינוך מכליל מיפתה סוגי טכנולוגיה, מסייעת, מסתגלת, תקשורתית ומבוססת בינה מלאכותית, ומצאה שהן תומכות בהשתתפות, בעצמאות ובנגישות של לומדים עם צרכים מגוונים, אך יישומן תלוי בהכשרת מורים, בעיצוב נגיש ובתשתית. מסקנת הסקירה היא שהטכנולוגיה הופכת למכלילה רק כאשר הכלי מותאם לצורך ספציפי של הלומד וכאשר המורה הוכשר להשתמש בו (Navas-Bonilla et al., 2025). סקירה שיטתית נוספת, שהתמקדה במחקרים בבתי ספר על טכנולוגיה מסייעת לתלמידים עם צרכים מיוחדים, מצאה שהטכנולוגיה מקדמת עצמאות בלמידה ומעורבות, ובקרב תלמידים על הרצף האוטיסטי שיפרה מיומנויות תקשורת וארגון, אך הצביעה על מיעוט מחקרים, על היעדר ראיות להישגים לטווח ארוך ועל הצורך לחקור את היחס בין שיטת ההוראה לבין הכלי (Mukhtarkyzy et al., 2025).</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מלמד שגם בתחום ההתאמה לשונות, שבו הפוטנציאל של הטכנולוגיה נראה ברור, התיווך האנושי נותר תנאי, וכי היחס בין שיטת ההוראה לבין הכלי הוא המשתנה שנחקר פחות מכול. המחקר הנוכחי בוחן כיצד מורות יסודי מתארות יחס זה בכיתה הטרוגנית: מה הטכנולוגיה מאפשרת להן, מה היא דורשת מהן, ואילו תלמידים זקוקים דווקא ליותר ליווי כשהם מול מסך.</w:t>
      </w:r>
    </w:p>
    <w:p>
      <w:pPr>
        <w:pStyle w:val="Heading2"/>
        <w:bidi/>
        <w:spacing w:after="120" w:before="200" w:line="360"/>
        <w:jc w:val="right"/>
      </w:pPr>
      <w:r>
        <w:rPr>
          <w:rFonts w:ascii="David" w:cs="David" w:eastAsia="David" w:hAnsi="David"/>
          <w:b/>
          <w:bCs/>
          <w:i w:val="false"/>
          <w:iCs w:val="false"/>
          <w:sz w:val="24"/>
          <w:szCs w:val="24"/>
          <w:rt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הסקירה איתרה חמישה ניסויים מבוקרים בלבד, ובהם כעשרת אלפים משתתפים, ומצאה שההתערבויות המוצלחות נשענו על העברה על ידי מורים, על תוכן מבוסס מיומנויות ועל מעורבות המשפחה (Ots et al., 2026). כלומר, הסחת דעת ממכשירים היא תופעה שגרתית בכיתות, ואולם התערבויות שהוערכו באופן קפדני עדיין נדירות.</w:t>
      </w:r>
    </w:p>
    <w:p>
      <w:pPr>
        <w:bidi/>
        <w:spacing w:after="120" w:before="0" w:line="360"/>
        <w:jc w:val="both"/>
      </w:pPr>
      <w:r>
        <w:rPr>
          <w:rFonts w:ascii="David" w:cs="David" w:eastAsia="David" w:hAnsi="David"/>
          <w:b w:val="false"/>
          <w:bCs w:val="false"/>
          <w:i w:val="false"/>
          <w:iCs w:val="false"/>
          <w:sz w:val="24"/>
          <w:szCs w:val="24"/>
          <w:rtl/>
        </w:rPr>
        <w:t xml:space="preserve">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כגון לוחות מחוונים, תזכורות וכלי תכנון. מסקנת הסקירה היא שסביבות דיגיטליות יוצרות בעת ובעונה אחת את בעיית ההסחה ואת הכלים להתמודד עמה, ותפקיד המורה הוא להפעיל את הכלים התומכים ולהורות ויסות עצמי במפורש (Faza &amp; Lestari, 2025). מחקר בקרב מאה וחמישה סטודנטים בבית ספר להנדסה שבו הטכנולוגיה משולבת במלואה בכיתות מצא שהלומדים עצמם מכירים בכך ששימוש במכשירים למטרות שאינן לימודיות במהלך השיעור פוגע בביצועיהם, ורובם דיווחו על שימוש כזה כמה פעמים בכל שיעור (Pérez-Juárez et al., 2023). אף שמדובר בלומדים בוגרים, המחקר מלמד שההסחה אינה נובעת מחוסר מודעות אלא מקושי לעמוד בפיתוי, ומכאן שגם בקרב ילדים הפתרון אינו הסברה בלבד.</w:t>
      </w:r>
    </w:p>
    <w:p>
      <w:pPr>
        <w:bidi/>
        <w:spacing w:after="120" w:before="0" w:line="360"/>
        <w:jc w:val="both"/>
      </w:pPr>
      <w:r>
        <w:rPr>
          <w:rFonts w:ascii="David" w:cs="David" w:eastAsia="David" w:hAnsi="David"/>
          <w:b w:val="false"/>
          <w:bCs w:val="false"/>
          <w:i w:val="false"/>
          <w:iCs w:val="false"/>
          <w:sz w:val="24"/>
          <w:szCs w:val="24"/>
          <w:rtl/>
        </w:rPr>
        <w:t xml:space="preserve">חקר מקרה בבית ספר יסודי בנורווגיה, שהשקיע במשך שנים בטכנולוגיה דיגיטלית, שילב ראיונות אישיים וקבוצתיים עם מורים, תצפיות בכיתות וסקר. המחקר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(Johler et al., 2022).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 אילו כללים הן קובעות, כיצד הן בונות את המשימה, ומתי הן בוחרות שלא להשתמש בטכנולוגיה כלל.</w:t>
      </w:r>
    </w:p>
    <w:p>
      <w:pPr>
        <w:pStyle w:val="Heading2"/>
        <w:bidi/>
        <w:spacing w:after="120" w:before="200" w:line="360"/>
        <w:jc w:val="right"/>
      </w:pPr>
      <w:r>
        <w:rPr>
          <w:rFonts w:ascii="David" w:cs="David" w:eastAsia="David" w:hAnsi="David"/>
          <w:b/>
          <w:bCs/>
          <w:i w:val="false"/>
          <w:iCs w:val="false"/>
          <w:sz w:val="24"/>
          <w:szCs w:val="24"/>
          <w:rt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חמישים ואחד מחקרים אמפיריים על תגובות מערכות חינוך יסודיות ועל־יסודיות ללמידה מרחוק בחירום, שנותחו תמטית, מצאה שהמשבר חשף פערי גישה ותשתית וחוסר מוכנות פדגוגית ברחבי העולם, פגע במעורבות וברווחה של תלמידים, ובה בעת האיץ את הכשירות הדיגיטלית של המורים והציע גמישות חדשה (Al Mazrooei et al., 2023). בישראל, מחקר משולב בקרב מאתיים תשעים וחמישה מורים ועשרים ושניים מרואיינים מצא שמעמד חברתי־כלכלי, גיל המורה, כשירות טכנולוגית, תדירות ההוראה הסינכרונית ושביעות רצון מקצועית ניבאו את היעילות הנתפסת של ההוראה המקוונת. בניתוח האיכותני תואר מעמד חברתי־כלכלי נמוך, במיוחד בבתי ספר בחברה הערבית, כמעכב את היעילות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(Masry-Herzallah, 2022).</w:t>
      </w:r>
    </w:p>
    <w:p>
      <w:pPr>
        <w:bidi/>
        <w:spacing w:after="120" w:before="0" w:line="360"/>
        <w:jc w:val="both"/>
      </w:pPr>
      <w:r>
        <w:rPr>
          <w:rFonts w:ascii="David" w:cs="David" w:eastAsia="David" w:hAnsi="David"/>
          <w:b w:val="false"/>
          <w:bCs w:val="false"/>
          <w:i w:val="false"/>
          <w:iCs w:val="false"/>
          <w:sz w:val="24"/>
          <w:szCs w:val="24"/>
          <w:rtl/>
        </w:rPr>
        <w:t xml:space="preserve">מחקר איכותני־קונסטרוקטיביסטי שהשווה בין סטודנטיות להוראה בדואיות ויהודיות בישראל בתקופת הלמידה המקוונת, על בסיס מאה ואחת רפלקציות, שתי קבוצות מיקוד ושישים ושמונה ראיונות,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(Frei-Landau &amp; Avidov-Ungar, 2022). סקר בקרב שלוש מאות מורים ערבים בישראל שלושה חודשים לאחר פתיחת בתי הספר מצא, על פי מודל הדרישות והמשאבים בעבודה, שהדרישות הטכנולוגיות פעלו כדרישות עבודה ששחקו את הרווחה של המורים כאשר לא לוו במשאבים מתאימים (Awwad-Tabry et al., 2023). שני המחקרים מלמדים שהפער הדיגיטלי פוגע לא רק בתלמידים אלא גם במורים, ושהוא מתבטא בעומס ובשחיקה ולא בציוד בלבד.</w:t>
      </w:r>
    </w:p>
    <w:p>
      <w:pPr>
        <w:bidi/>
        <w:spacing w:after="120" w:before="0" w:line="360"/>
        <w:jc w:val="both"/>
      </w:pPr>
      <w:r>
        <w:rPr>
          <w:rFonts w:ascii="David" w:cs="David" w:eastAsia="David" w:hAnsi="David"/>
          <w:b w:val="false"/>
          <w:bCs w:val="false"/>
          <w:i w:val="false"/>
          <w:iCs w:val="false"/>
          <w:sz w:val="24"/>
          <w:szCs w:val="24"/>
          <w:rtl/>
        </w:rPr>
        <w:t xml:space="preserve">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קושי במעורבות תלמידים ופערי נגישות (שמיר-ענבל ובלאו, 2021). 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המאורגן סביב המשולש אדם, טכנולוגיה ותרבות, טען שבלא התאמה תרבותית הטכנולוגיה עלולה להעמיק פערים במקום לצמצמם, ושהתיווך הטכנולוגי מעורר מתחים בתפקיד היחסי של המורה (פינקלשטיין וסופר-ויטל, 2022).</w:t>
      </w:r>
    </w:p>
    <w:p>
      <w:pPr>
        <w:bidi/>
        <w:spacing w:after="120" w:before="0" w:line="360"/>
        <w:jc w:val="both"/>
      </w:pPr>
      <w:r>
        <w:rPr>
          <w:rFonts w:ascii="David" w:cs="David" w:eastAsia="David" w:hAnsi="David"/>
          <w:b w:val="false"/>
          <w:bCs w:val="false"/>
          <w:i w:val="false"/>
          <w:iCs w:val="false"/>
          <w:sz w:val="24"/>
          <w:szCs w:val="24"/>
          <w:rtl/>
        </w:rPr>
        <w:t xml:space="preserve">מכלול המחקרים הישראליים מלמד שהפער הדיגיטלי אינו סוגיה של ציוד בלבד, אלא סוגיה של צדק חינוכי ושל תנאי עבודה, וכי המורה בכיתה היא שנדרשת להחליט מה לדרוש מהבית ומה לספק בבית הספר. ואולם רוב המחקרים הישראליים שנסקרו נערכו בתקופת החירום עצמה או בסמוך לה. המחקר הנוכחי בוחן מה נשאר מן החוויה הזאת בתפיסותיהן של מורות יסודי כמה שנים לאחר מכן, וכיצד היא מעצבת את החלטותיהן היום־יומיות בנוגע למשימות דיגיטליות.</w:t>
      </w:r>
    </w:p>
    <w:p>
      <w:pPr>
        <w:pStyle w:val="Heading2"/>
        <w:bidi/>
        <w:spacing w:after="120" w:before="200" w:line="360"/>
        <w:jc w:val="right"/>
      </w:pPr>
      <w:r>
        <w:rPr>
          <w:rFonts w:ascii="David" w:cs="David" w:eastAsia="David" w:hAnsi="David"/>
          <w:b/>
          <w:bCs/>
          <w:i w:val="false"/>
          <w:iCs w:val="false"/>
          <w:sz w:val="24"/>
          <w:szCs w:val="24"/>
          <w:rt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rPr>
        <w:t xml:space="preserve">התרחבות הנגישות למידע משנה את דמות המורה מבלי לבטל את חשיבותה. המחקרים על טכנולוגיה מסתגלת שנסקרו לעיל מציירים מורה שתפקידו עובר מהעברת ידע לתכנון סביבות למידה, לפירוש נתונים ולניהול הכיתה, בעוד הליבה היחסית של התפקיד נתפסת כבלתי ניתנת להחלפה (Merikko &amp; Kivimäki, 2022; Moltudal et al., 2022). כניסתם של כלי בינה מלאכותית יוצרת מאיצה שינוי זה. מחקר איכותני שראיין עשרים מורים משני בתי ספר פרטיים בהודו על אמונותיהם, על דפוסי השימוש ועל האתגרים וההזדמנויות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המחקר קרא להכשרת מורים שמעמידה במרכז את המורה ולא את הטכנולוגיה, ומשלבת חשיבה ביקורתית ושיקול דעת אתי (Tripathi et al., 2025).</w:t>
      </w:r>
    </w:p>
    <w:p>
      <w:pPr>
        <w:bidi/>
        <w:spacing w:after="120" w:before="0" w:line="360"/>
        <w:jc w:val="both"/>
      </w:pPr>
      <w:r>
        <w:rPr>
          <w:rFonts w:ascii="David" w:cs="David" w:eastAsia="David" w:hAnsi="David"/>
          <w:b w:val="false"/>
          <w:bCs w:val="false"/>
          <w:i w:val="false"/>
          <w:iCs w:val="false"/>
          <w:sz w:val="24"/>
          <w:szCs w:val="24"/>
          <w:rtl/>
        </w:rPr>
        <w:t xml:space="preserve">מחקר משולב בקרב אנשי חינוך בבתי ספר מצא שהיכרות עם כלי בינה מלאכותית, מוכנות נתפסת ושלב התכנון המוסדי קשורים זה בזה באופן הדוק, וכי המורים ציינו פיתוח מקצועי בלתי מספיק, חששות אתיים ואי־שוויון בתשתיות לצד הזדמנויות ללמידה מותאמת אישית וליעילות תפעולית. המחקר המליץ על הכשרה ממוקדת, על גישה שוויונית למשאבים ועל מדיניות ברורה (Kim, 2025). סקירה שיטתית של שלושים מאמרים על בינה מלאכותית יוצרת בבתי ספר מצאה שרוב המחקר עוסק בתלמידי תיכון ובסטודנטים להוראה, מתמקד במקצועות המדעים ומשתמש בעיקר במערכים מעין ניסויים ובמשתנים פסיכולוגיים כגון מוטיבציה ועמדות. הסקירה זיהתה את בית הספר היסודי ואת נקודת מבטם של מורים בפועל כפערים במחקר (Alfarwan, 2025).</w:t>
      </w:r>
    </w:p>
    <w:p>
      <w:pPr>
        <w:bidi/>
        <w:spacing w:after="120" w:before="0" w:line="360"/>
        <w:jc w:val="both"/>
      </w:pPr>
      <w:r>
        <w:rPr>
          <w:rFonts w:ascii="David" w:cs="David" w:eastAsia="David" w:hAnsi="David"/>
          <w:b w:val="false"/>
          <w:bCs w:val="false"/>
          <w:i w:val="false"/>
          <w:iCs w:val="false"/>
          <w:sz w:val="24"/>
          <w:szCs w:val="24"/>
          <w:rtl/>
        </w:rPr>
        <w:t xml:space="preserve">בישראל, מאמר עיוני על אתגרי השימוש ב־ChatGPT בחן את השפעותיו האפשריות על הכתיבה כאמצעי למידה, על הערכת מידע, על מטלות ביצוע ועל הערכת הלומד. המאמר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המבוסס על מודל קבלת השימוש במכשירי בינה מלאכותית, מצא שאימוץ בינה מלאכותית יוצרת להוראה מוסבר בתועלת הנתפסת, ברגשות ובהשפעה חברתית גם יחד, ממצא המדגיש את חשיבות הקהילה המקצועית בתהליך האימוץ (בלאו ואחרים, 2026).</w:t>
      </w:r>
    </w:p>
    <w:p>
      <w:pPr>
        <w:bidi/>
        <w:spacing w:after="120" w:before="0" w:line="360"/>
        <w:jc w:val="both"/>
      </w:pPr>
      <w:r>
        <w:rPr>
          <w:rFonts w:ascii="David" w:cs="David" w:eastAsia="David" w:hAnsi="David"/>
          <w:b w:val="false"/>
          <w:bCs w:val="false"/>
          <w:i w:val="false"/>
          <w:iCs w:val="false"/>
          <w:sz w:val="24"/>
          <w:szCs w:val="24"/>
          <w:rtl/>
        </w:rPr>
        <w:t xml:space="preserve">מדיניות משרד החינוך בישראל מציבה את השימוש של תלמידים בכלים אלה במדרג גילאים ברור. על פי ההנחיות לשימוש בכלי בינה מלאכותית יוצרת במערכת החינוך, שפורסמו בינואר 2026, אין להשתמש בבוטים לימודיים מבוססי בינה מלאכותית יוצרת בכיתות א' עד ג'; מכיתה ד' מותר שימוש בבוט חינוכי ייעודי של משרד החינוך בלבד, בפיקוח צוות ההוראה; בכיתות ה' ו־ו' מותר שימוש בכלים מאושרים בשליטת המורה וללא הזדהות אישית של התלמיד; ורק מכיתה ז' מותר שימוש עצמאי בכלים מאושרים. ההנחיות מחייבות אישור הורים והכשרה מקדימה של הצוות והתלמידים, ומונות בין הסיכונים הטיה, פגיעה בפרטיות, מידע כוזב, הסתמכות יתר שעלולה לפגוע בחשיבה עצמאית, תלות רגשית וחברתית ופער דיגיטלי (משרד החינוך, 2026). בבית הספר היסודי, אם כן, האחריות לשימוש בכלים אלה מוטלת כמעט כולה על המורה: היא שמכינה באמצעותם חומרים, היא שמציגה אותם בכיתה, והיא שנדרשת ללמד את התלמידים חשיבה ביקורתית כלפיהם.</w:t>
      </w:r>
    </w:p>
    <w:p>
      <w:pPr>
        <w:bidi/>
        <w:spacing w:after="120" w:before="0" w:line="360"/>
        <w:jc w:val="both"/>
      </w:pPr>
      <w:r>
        <w:rPr>
          <w:rFonts w:ascii="David" w:cs="David" w:eastAsia="David" w:hAnsi="David"/>
          <w:b w:val="false"/>
          <w:bCs w:val="false"/>
          <w:i w:val="false"/>
          <w:iCs w:val="false"/>
          <w:sz w:val="24"/>
          <w:szCs w:val="24"/>
          <w:rtl/>
        </w:rPr>
        <w:t xml:space="preserve">ההשפעה של כלים אלה על עבודת המורה עצמה נחקרה במחקר ישראלי בקרב תשעים ושמונה מורות ומורים, שבחן את הקשר בין רמת השימוש בבינה מלאכותית לבין תחושת עומס ושחיקה. בניגוד להשערת החוקרים, מורים שדיווחו על שימוש בבינה מלאכותית להכנת חומרי הוראה או להפעלת תלמידים דיווחו על עומס ושחיקה גבוהים יותר, ככל הנראה משום שנדרשו להשקיע זמן בלמידת הכלים ללא הכשרה מספקת. מיומנות טכנולוגית ועמדות כלפי בינה מלאכותית לא הסבירו את העומס, ואילו פתיחות לשינוי נמצאה בקשר שלילי עם שחיקה. החוקרים הסיקו שקיים פער בין הפוטנציאל של הכלים להפחית עומס לבין המציאות בשטח, ושמימושו מחייב הכשרה, זמן ייעודי להתנסות ותמיכה מוסדית רציפה (אטיאס ואחרים, 2026). ממצא זה מצטרף לממצאים על העומס שהמעבר לתפקיד מורחב יוצר, ומדגיש שהכלי אינו מפחית עומס מעצמו.</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 כיצד הן משתמשות בכלי הבינה המלאכותית בעבודתן שלהן, ומה הן מלמדות את תלמידיהן הצעירים על כלים אלה.</w:t>
      </w:r>
    </w:p>
    <w:p>
      <w:pPr>
        <w:pStyle w:val="Heading2"/>
        <w:bidi/>
        <w:spacing w:after="120" w:before="200" w:line="360"/>
        <w:jc w:val="right"/>
      </w:pPr>
      <w:r>
        <w:rPr>
          <w:rFonts w:ascii="David" w:cs="David" w:eastAsia="David" w:hAnsi="David"/>
          <w:b/>
          <w:bCs/>
          <w:i w:val="false"/>
          <w:iCs w:val="false"/>
          <w:sz w:val="24"/>
          <w:szCs w:val="24"/>
          <w:rt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Akram et al., 2022).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(Li et al., 2023; Ramírez Ruiz et al., 2024; Wang &amp; Tahir, 2020). שלישית, האתגרים, הסחות דעת, תלות בתשתית ופער דיגיטלי, אינם טכניים בלבד אלא נוגעים ליחסים בכיתה, לתנאי העבודה של המורה ולצדק חינוכי (Frei-Landau &amp; Avidov-Ungar, 2022; Johler et al., 2022; Masry-Herzallah, 2022). רביעית, תפקיד המורה משתנה לכיוון של תכנון, תיווך ופירוש, בעוד הליבה היחסית נתפסת כקבועה (Merikko &amp; Kivimäki, 2022; Tripathi et al., 2025).</w:t>
      </w:r>
    </w:p>
    <w:p>
      <w:pPr>
        <w:bidi/>
        <w:spacing w:after="120" w:before="0" w:line="360"/>
        <w:jc w:val="both"/>
      </w:pPr>
      <w:r>
        <w:rPr>
          <w:rFonts w:ascii="David" w:cs="David" w:eastAsia="David" w:hAnsi="David"/>
          <w:b w:val="false"/>
          <w:bCs w:val="false"/>
          <w:i w:val="false"/>
          <w:iCs w:val="false"/>
          <w:sz w:val="24"/>
          <w:szCs w:val="24"/>
          <w:rt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(Alfarwan, 2025; Simon &amp; Zeng, 2024). גם המחקרים הישראליים שנסקרו נערכו ברובם בתקופת החירום, ואינם מלמדים מה נשאר ממנה בשגרה.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24"/>
          <w:szCs w:val="24"/>
          <w:rt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rPr>
        <w:t xml:space="preserve">מטרת המחקר</w:t>
      </w:r>
      <w:r>
        <w:rPr>
          <w:rFonts w:ascii="David" w:cs="David" w:eastAsia="David" w:hAnsi="David"/>
          <w:b w:val="false"/>
          <w:bCs w:val="false"/>
          <w:i w:val="false"/>
          <w:iCs w:val="false"/>
          <w:sz w:val="24"/>
          <w:szCs w:val="24"/>
          <w:rt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rPr>
        <w:t xml:space="preserve">שאלת המחקר המרכזית:</w:t>
      </w:r>
      <w:r>
        <w:rPr>
          <w:rFonts w:ascii="David" w:cs="David" w:eastAsia="David" w:hAnsi="David"/>
          <w:b w:val="false"/>
          <w:bCs w:val="false"/>
          <w:i w:val="false"/>
          <w:iCs w:val="false"/>
          <w:sz w:val="24"/>
          <w:szCs w:val="24"/>
          <w:rt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24"/>
          <w:szCs w:val="24"/>
          <w:rtl/>
        </w:rPr>
        <w:t xml:space="preserve">4. מתודולוגיה</w:t>
      </w:r>
    </w:p>
    <w:p>
      <w:pPr>
        <w:pStyle w:val="Heading2"/>
        <w:bidi/>
        <w:spacing w:after="120" w:before="200" w:line="360"/>
        <w:jc w:val="right"/>
      </w:pPr>
      <w:r>
        <w:rPr>
          <w:rFonts w:ascii="David" w:cs="David" w:eastAsia="David" w:hAnsi="David"/>
          <w:b/>
          <w:bCs/>
          <w:i w:val="false"/>
          <w:iCs w:val="false"/>
          <w:sz w:val="24"/>
          <w:szCs w:val="24"/>
          <w:rtl/>
        </w:rPr>
        <w:t xml:space="preserve">4.1 גישת המחקר</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rPr>
        <w:t xml:space="preserve">תפיסות</w:t>
      </w:r>
      <w:r>
        <w:rPr>
          <w:rFonts w:ascii="David" w:cs="David" w:eastAsia="David" w:hAnsi="David"/>
          <w:b w:val="false"/>
          <w:bCs w:val="false"/>
          <w:i w:val="false"/>
          <w:iCs w:val="false"/>
          <w:sz w:val="24"/>
          <w:szCs w:val="24"/>
          <w:rt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(thick description)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4"/>
          <w:szCs w:val="24"/>
          <w:rtl/>
        </w:rPr>
        <w:t xml:space="preserve">4.2 שדה המחקר</w:t>
      </w:r>
    </w:p>
    <w:p>
      <w:pPr>
        <w:bidi/>
        <w:spacing w:after="120" w:before="0" w:line="360"/>
        <w:jc w:val="both"/>
      </w:pPr>
      <w:r>
        <w:rPr>
          <w:rFonts w:ascii="David" w:cs="David" w:eastAsia="David" w:hAnsi="David"/>
          <w:b w:val="false"/>
          <w:bCs w:val="false"/>
          <w:i w:val="false"/>
          <w:iCs w:val="false"/>
          <w:sz w:val="24"/>
          <w:szCs w:val="24"/>
          <w:rt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ChatGPT)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4"/>
          <w:szCs w:val="24"/>
          <w:rt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rPr>
        <w:t xml:space="preserve">במחקר השתתפו חמש מורות בבית הספר היסודי, שנבחרו בדגימה מכוונת (purposive sampling)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(maximum variation),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4.4 כלי המחקר</w:t>
      </w:r>
    </w:p>
    <w:p>
      <w:pPr>
        <w:bidi/>
        <w:spacing w:after="120" w:before="0" w:line="360"/>
        <w:jc w:val="both"/>
      </w:pPr>
      <w:r>
        <w:rPr>
          <w:rFonts w:ascii="David" w:cs="David" w:eastAsia="David" w:hAnsi="David"/>
          <w:b w:val="false"/>
          <w:bCs w:val="false"/>
          <w:i w:val="false"/>
          <w:iCs w:val="false"/>
          <w:sz w:val="24"/>
          <w:szCs w:val="24"/>
          <w:rt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(probes),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שאלות ראיון עיקריות</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שאלת משנה</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4, 6, 7, 8, 9, 13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יתרונות ותנאים למימושם</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5, 10, 11, 12, 14, 17</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קשיים, אתגרים והתמודדות</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2, 15, 16, 18, 19, 20</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תפקיד המורה: מה משתנה ומה נשאר</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1, 3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רקע ובניית אמון</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4"/>
          <w:szCs w:val="24"/>
          <w:rtl/>
        </w:rPr>
        <w:t xml:space="preserve">4.5 הליך המחקר</w:t>
      </w:r>
    </w:p>
    <w:p>
      <w:pPr>
        <w:bidi/>
        <w:spacing w:after="120" w:before="0" w:line="360"/>
        <w:jc w:val="both"/>
      </w:pPr>
      <w:r>
        <w:rPr>
          <w:rFonts w:ascii="David" w:cs="David" w:eastAsia="David" w:hAnsi="David"/>
          <w:b w:val="false"/>
          <w:bCs w:val="false"/>
          <w:i w:val="false"/>
          <w:iCs w:val="false"/>
          <w:sz w:val="24"/>
          <w:szCs w:val="24"/>
          <w:rt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(member checking).</w:t>
      </w:r>
    </w:p>
    <w:p>
      <w:pPr>
        <w:pStyle w:val="Heading2"/>
        <w:bidi/>
        <w:spacing w:after="120" w:before="200" w:line="360"/>
        <w:jc w:val="right"/>
      </w:pPr>
      <w:r>
        <w:rPr>
          <w:rFonts w:ascii="David" w:cs="David" w:eastAsia="David" w:hAnsi="David"/>
          <w:b/>
          <w:bCs/>
          <w:i w:val="false"/>
          <w:iCs w:val="false"/>
          <w:sz w:val="24"/>
          <w:szCs w:val="24"/>
          <w:rtl/>
        </w:rPr>
        <w:t xml:space="preserve">4.6 הליך הניתוח</w:t>
      </w:r>
    </w:p>
    <w:p>
      <w:pPr>
        <w:bidi/>
        <w:spacing w:after="120" w:before="0" w:line="360"/>
        <w:jc w:val="both"/>
      </w:pPr>
      <w:r>
        <w:rPr>
          <w:rFonts w:ascii="David" w:cs="David" w:eastAsia="David" w:hAnsi="David"/>
          <w:b w:val="false"/>
          <w:bCs w:val="false"/>
          <w:i w:val="false"/>
          <w:iCs w:val="false"/>
          <w:sz w:val="24"/>
          <w:szCs w:val="24"/>
          <w:rt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rPr>
        <w:t xml:space="preserve">(1) ניתוח ראשוני</w:t>
      </w:r>
      <w:r>
        <w:rPr>
          <w:rFonts w:ascii="David" w:cs="David" w:eastAsia="David" w:hAnsi="David"/>
          <w:b w:val="false"/>
          <w:bCs w:val="false"/>
          <w:i w:val="false"/>
          <w:iCs w:val="false"/>
          <w:sz w:val="24"/>
          <w:szCs w:val="24"/>
          <w:rt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rPr>
        <w:t xml:space="preserve">(2) ניתוח ממפה</w:t>
      </w:r>
      <w:r>
        <w:rPr>
          <w:rFonts w:ascii="David" w:cs="David" w:eastAsia="David" w:hAnsi="David"/>
          <w:b w:val="false"/>
          <w:bCs w:val="false"/>
          <w:i w:val="false"/>
          <w:iCs w:val="false"/>
          <w:sz w:val="24"/>
          <w:szCs w:val="24"/>
          <w:rt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rPr>
        <w:t xml:space="preserve">(3) ניתוח ממוקד</w:t>
      </w:r>
      <w:r>
        <w:rPr>
          <w:rFonts w:ascii="David" w:cs="David" w:eastAsia="David" w:hAnsi="David"/>
          <w:b w:val="false"/>
          <w:bCs w:val="false"/>
          <w:i w:val="false"/>
          <w:iCs w:val="false"/>
          <w:sz w:val="24"/>
          <w:szCs w:val="24"/>
          <w:rt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rPr>
        <w:t xml:space="preserve">(4) ניתוח תיאורטי</w:t>
      </w:r>
      <w:r>
        <w:rPr>
          <w:rFonts w:ascii="David" w:cs="David" w:eastAsia="David" w:hAnsi="David"/>
          <w:b w:val="false"/>
          <w:bCs w:val="false"/>
          <w:i w:val="false"/>
          <w:iCs w:val="false"/>
          <w:sz w:val="24"/>
          <w:szCs w:val="24"/>
          <w:rt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(Nowell et al., 2017).</w:t>
      </w:r>
    </w:p>
    <w:p>
      <w:pPr>
        <w:bidi/>
        <w:spacing w:after="120" w:before="0" w:line="360"/>
        <w:jc w:val="both"/>
      </w:pPr>
      <w:r>
        <w:rPr>
          <w:rFonts w:ascii="David" w:cs="David" w:eastAsia="David" w:hAnsi="David"/>
          <w:b w:val="false"/>
          <w:bCs w:val="false"/>
          <w:i w:val="false"/>
          <w:iCs w:val="false"/>
          <w:sz w:val="24"/>
          <w:szCs w:val="24"/>
          <w:rt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4"/>
          <w:szCs w:val="24"/>
          <w:rtl/>
        </w:rPr>
        <w:t xml:space="preserve">4.7 אמינות</w:t>
      </w:r>
    </w:p>
    <w:p>
      <w:pPr>
        <w:bidi/>
        <w:spacing w:after="120" w:before="0" w:line="360"/>
        <w:jc w:val="both"/>
      </w:pPr>
      <w:r>
        <w:rPr>
          <w:rFonts w:ascii="David" w:cs="David" w:eastAsia="David" w:hAnsi="David"/>
          <w:b w:val="false"/>
          <w:bCs w:val="false"/>
          <w:i w:val="false"/>
          <w:iCs w:val="false"/>
          <w:sz w:val="24"/>
          <w:szCs w:val="24"/>
          <w:rt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rPr>
        <w:t xml:space="preserve">שקיפות</w:t>
      </w:r>
      <w:r>
        <w:rPr>
          <w:rFonts w:ascii="David" w:cs="David" w:eastAsia="David" w:hAnsi="David"/>
          <w:b w:val="false"/>
          <w:bCs w:val="false"/>
          <w:i w:val="false"/>
          <w:iCs w:val="false"/>
          <w:sz w:val="24"/>
          <w:szCs w:val="24"/>
          <w:rt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rPr>
        <w:t xml:space="preserve">עדות עשירה</w:t>
      </w:r>
      <w:r>
        <w:rPr>
          <w:rFonts w:ascii="David" w:cs="David" w:eastAsia="David" w:hAnsi="David"/>
          <w:b w:val="false"/>
          <w:bCs w:val="false"/>
          <w:i w:val="false"/>
          <w:iCs w:val="false"/>
          <w:sz w:val="24"/>
          <w:szCs w:val="24"/>
          <w:rt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rPr>
        <w:t xml:space="preserve">הלימה</w:t>
      </w:r>
      <w:r>
        <w:rPr>
          <w:rFonts w:ascii="David" w:cs="David" w:eastAsia="David" w:hAnsi="David"/>
          <w:b w:val="false"/>
          <w:bCs w:val="false"/>
          <w:i w:val="false"/>
          <w:iCs w:val="false"/>
          <w:sz w:val="24"/>
          <w:szCs w:val="24"/>
          <w:rtl/>
        </w:rPr>
        <w:t xml:space="preserve"> בין שאלות המחקר, שאלות הראיון, הקטגוריות והתמות; </w:t>
      </w:r>
      <w:r>
        <w:rPr>
          <w:rFonts w:ascii="David" w:cs="David" w:eastAsia="David" w:hAnsi="David"/>
          <w:b/>
          <w:bCs/>
          <w:i w:val="false"/>
          <w:iCs w:val="false"/>
          <w:sz w:val="24"/>
          <w:szCs w:val="24"/>
          <w:rtl/>
        </w:rPr>
        <w:t xml:space="preserve">טריאנגולציה בין מקרים</w:t>
      </w:r>
      <w:r>
        <w:rPr>
          <w:rFonts w:ascii="David" w:cs="David" w:eastAsia="David" w:hAnsi="David"/>
          <w:b w:val="false"/>
          <w:bCs w:val="false"/>
          <w:i w:val="false"/>
          <w:iCs w:val="false"/>
          <w:sz w:val="24"/>
          <w:szCs w:val="24"/>
          <w:rt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rPr>
        <w:t xml:space="preserve">אישור המשתתפות</w:t>
      </w:r>
      <w:r>
        <w:rPr>
          <w:rFonts w:ascii="David" w:cs="David" w:eastAsia="David" w:hAnsi="David"/>
          <w:b w:val="false"/>
          <w:bCs w:val="false"/>
          <w:i w:val="false"/>
          <w:iCs w:val="false"/>
          <w:sz w:val="24"/>
          <w:szCs w:val="24"/>
          <w:rtl/>
        </w:rPr>
        <w:t xml:space="preserve">: שליחת תקציר הדברים למרואיינות; </w:t>
      </w:r>
      <w:r>
        <w:rPr>
          <w:rFonts w:ascii="David" w:cs="David" w:eastAsia="David" w:hAnsi="David"/>
          <w:b/>
          <w:bCs/>
          <w:i w:val="false"/>
          <w:iCs w:val="false"/>
          <w:sz w:val="24"/>
          <w:szCs w:val="24"/>
          <w:rtl/>
        </w:rPr>
        <w:t xml:space="preserve">ביקורת עמיתים</w:t>
      </w:r>
      <w:r>
        <w:rPr>
          <w:rFonts w:ascii="David" w:cs="David" w:eastAsia="David" w:hAnsi="David"/>
          <w:b w:val="false"/>
          <w:bCs w:val="false"/>
          <w:i w:val="false"/>
          <w:iCs w:val="false"/>
          <w:sz w:val="24"/>
          <w:szCs w:val="24"/>
          <w:rtl/>
        </w:rPr>
        <w:t xml:space="preserve">: דיון בקטגוריות ובתמות עם עמיתה ללימודים; ו</w:t>
      </w:r>
      <w:r>
        <w:rPr>
          <w:rFonts w:ascii="David" w:cs="David" w:eastAsia="David" w:hAnsi="David"/>
          <w:b/>
          <w:bCs/>
          <w:i w:val="false"/>
          <w:iCs w:val="false"/>
          <w:sz w:val="24"/>
          <w:szCs w:val="24"/>
          <w:rtl/>
        </w:rPr>
        <w:t xml:space="preserve">רפלקסיביות</w:t>
      </w:r>
      <w:r>
        <w:rPr>
          <w:rFonts w:ascii="David" w:cs="David" w:eastAsia="David" w:hAnsi="David"/>
          <w:b w:val="false"/>
          <w:bCs w:val="false"/>
          <w:i w:val="false"/>
          <w:iCs w:val="false"/>
          <w:sz w:val="24"/>
          <w:szCs w:val="24"/>
          <w:rt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(credibility), יכולת העברה (transferability), עקביות (dependability) ואישוריות (confirmability) (Nowell et al., 2017).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4"/>
          <w:szCs w:val="24"/>
          <w:rtl/>
        </w:rPr>
        <w:t xml:space="preserve">4.8 אתיקה</w:t>
      </w:r>
    </w:p>
    <w:p>
      <w:pPr>
        <w:bidi/>
        <w:spacing w:after="120" w:before="0" w:line="360"/>
        <w:jc w:val="both"/>
      </w:pPr>
      <w:r>
        <w:rPr>
          <w:rFonts w:ascii="David" w:cs="David" w:eastAsia="David" w:hAnsi="David"/>
          <w:b w:val="false"/>
          <w:bCs w:val="false"/>
          <w:i w:val="false"/>
          <w:iCs w:val="false"/>
          <w:sz w:val="24"/>
          <w:szCs w:val="24"/>
          <w:rt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rPr>
        <w:t xml:space="preserve">הסכמה מדעת</w:t>
      </w:r>
      <w:r>
        <w:rPr>
          <w:rFonts w:ascii="David" w:cs="David" w:eastAsia="David" w:hAnsi="David"/>
          <w:b w:val="false"/>
          <w:bCs w:val="false"/>
          <w:i w:val="false"/>
          <w:iCs w:val="false"/>
          <w:sz w:val="24"/>
          <w:szCs w:val="24"/>
          <w:rt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rPr>
        <w:t xml:space="preserve">אנונימיות</w:t>
      </w:r>
      <w:r>
        <w:rPr>
          <w:rFonts w:ascii="David" w:cs="David" w:eastAsia="David" w:hAnsi="David"/>
          <w:b w:val="false"/>
          <w:bCs w:val="false"/>
          <w:i w:val="false"/>
          <w:iCs w:val="false"/>
          <w:sz w:val="24"/>
          <w:szCs w:val="24"/>
          <w:rt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rPr>
        <w:t xml:space="preserve">סודיות</w:t>
      </w:r>
      <w:r>
        <w:rPr>
          <w:rFonts w:ascii="David" w:cs="David" w:eastAsia="David" w:hAnsi="David"/>
          <w:b w:val="false"/>
          <w:bCs w:val="false"/>
          <w:i w:val="false"/>
          <w:iCs w:val="false"/>
          <w:sz w:val="24"/>
          <w:szCs w:val="24"/>
          <w:rt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rPr>
        <w:t xml:space="preserve">כבוד ואי־שיפוטיות</w:t>
      </w:r>
      <w:r>
        <w:rPr>
          <w:rFonts w:ascii="David" w:cs="David" w:eastAsia="David" w:hAnsi="David"/>
          <w:b w:val="false"/>
          <w:bCs w:val="false"/>
          <w:i w:val="false"/>
          <w:iCs w:val="false"/>
          <w:sz w:val="24"/>
          <w:szCs w:val="24"/>
          <w:rt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rPr>
        <w:t xml:space="preserve">רגישות לרגש</w:t>
      </w:r>
      <w:r>
        <w:rPr>
          <w:rFonts w:ascii="David" w:cs="David" w:eastAsia="David" w:hAnsi="David"/>
          <w:b w:val="false"/>
          <w:bCs w:val="false"/>
          <w:i w:val="false"/>
          <w:iCs w:val="false"/>
          <w:sz w:val="24"/>
          <w:szCs w:val="24"/>
          <w:rt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24"/>
          <w:szCs w:val="24"/>
          <w:rtl/>
        </w:rPr>
        <w:t xml:space="preserve">5. ממצאים</w:t>
      </w:r>
    </w:p>
    <w:p>
      <w:pPr>
        <w:bidi/>
        <w:spacing w:after="120" w:before="0" w:line="360"/>
        <w:jc w:val="both"/>
      </w:pPr>
      <w:r>
        <w:rPr>
          <w:rFonts w:ascii="David" w:cs="David" w:eastAsia="David" w:hAnsi="David"/>
          <w:b w:val="false"/>
          <w:bCs w:val="false"/>
          <w:i w:val="false"/>
          <w:iCs w:val="false"/>
          <w:sz w:val="24"/>
          <w:szCs w:val="24"/>
          <w:rt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4"/>
          <w:szCs w:val="24"/>
          <w:rt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Kahoot,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60"/>
        <w:ind w:left="720" w:right="720"/>
        <w:jc w:val="both"/>
      </w:pPr>
      <w:r>
        <w:rPr>
          <w:rFonts w:ascii="David" w:cs="David" w:eastAsia="David" w:hAnsi="David"/>
          <w:b w:val="false"/>
          <w:bCs w:val="false"/>
          <w:i w:val="false"/>
          <w:iCs w:val="false"/>
          <w:sz w:val="24"/>
          <w:szCs w:val="24"/>
          <w:rt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4"/>
          <w:szCs w:val="24"/>
          <w:rt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rPr>
        <w:t xml:space="preserve">לצד ההשפעה החיובית, ארבע מרואיינות תיארו שחיקה מהירה של ההתלהבות. נועה ניסחה זאת כך: "אם אני עושה Kahoot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4"/>
          <w:szCs w:val="24"/>
          <w:rt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60"/>
        <w:ind w:left="720" w:right="720"/>
        <w:jc w:val="both"/>
      </w:pPr>
      <w:r>
        <w:rPr>
          <w:rFonts w:ascii="David" w:cs="David" w:eastAsia="David" w:hAnsi="David"/>
          <w:b w:val="false"/>
          <w:bCs w:val="false"/>
          <w:i w:val="false"/>
          <w:iCs w:val="false"/>
          <w:sz w:val="24"/>
          <w:szCs w:val="24"/>
          <w:rt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4"/>
          <w:szCs w:val="24"/>
          <w:rt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4"/>
          <w:szCs w:val="24"/>
          <w:rt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4"/>
          <w:szCs w:val="24"/>
          <w:rt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60"/>
        <w:ind w:left="720" w:right="720"/>
        <w:jc w:val="both"/>
      </w:pPr>
      <w:r>
        <w:rPr>
          <w:rFonts w:ascii="David" w:cs="David" w:eastAsia="David" w:hAnsi="David"/>
          <w:b w:val="false"/>
          <w:bCs w:val="false"/>
          <w:i w:val="false"/>
          <w:iCs w:val="false"/>
          <w:sz w:val="24"/>
          <w:szCs w:val="24"/>
          <w:rt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ב-Canva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4"/>
          <w:szCs w:val="24"/>
          <w:rt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4"/>
          <w:szCs w:val="24"/>
          <w:rt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4"/>
          <w:szCs w:val="24"/>
          <w:rt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4"/>
          <w:szCs w:val="24"/>
          <w:rt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4"/>
          <w:szCs w:val="24"/>
          <w:rt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4"/>
          <w:szCs w:val="24"/>
          <w:rt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4"/>
          <w:szCs w:val="24"/>
          <w:rt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4"/>
          <w:szCs w:val="24"/>
          <w:rt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ה-Padlet.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4"/>
          <w:szCs w:val="24"/>
          <w:rt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פער בציוד לבין פער בתמיכה. נועה אמרה: "זה גם מי יש לו הורה שיודע להיכנס ל-Classroom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4"/>
          <w:szCs w:val="24"/>
          <w:rt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4"/>
          <w:szCs w:val="24"/>
          <w:rt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4"/>
          <w:szCs w:val="24"/>
          <w:rt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4"/>
          <w:szCs w:val="24"/>
          <w:rt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4"/>
          <w:szCs w:val="24"/>
          <w:rt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4"/>
          <w:szCs w:val="24"/>
          <w:rt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4"/>
          <w:szCs w:val="24"/>
          <w:rt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4"/>
          <w:szCs w:val="24"/>
          <w:rt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4"/>
          <w:szCs w:val="24"/>
          <w:rt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6. דיון ומסקנות</w:t>
      </w:r>
    </w:p>
    <w:p>
      <w:pPr>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4"/>
          <w:szCs w:val="24"/>
          <w:rt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(Akram et al., 2022; Wang &amp; Tahir, 2020),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(Li et al., 2023), והיא מציעה שהיתרון אינו אחיד אלא ממוקד באוכלוסייה מסוימת. שנית, המורות תיארו שחיקה מהירה של ההתלהבות ומחיר רגשי של התחרותיות, בדיוק כפי שמצאו ואנג וטהיר (Wang &amp; Tahir, 2020) בסקירתם על Kahoot,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(Ramírez Ruiz et al., 2024).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(Faza &amp; Lestari, 2025).</w:t>
      </w:r>
    </w:p>
    <w:p>
      <w:pPr>
        <w:bidi/>
        <w:spacing w:after="120" w:before="0" w:line="360"/>
        <w:jc w:val="both"/>
      </w:pPr>
      <w:r>
        <w:rPr>
          <w:rFonts w:ascii="David" w:cs="David" w:eastAsia="David" w:hAnsi="David"/>
          <w:b w:val="false"/>
          <w:bCs w:val="false"/>
          <w:i w:val="false"/>
          <w:iCs w:val="false"/>
          <w:sz w:val="24"/>
          <w:szCs w:val="24"/>
          <w:rt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(Amemasor et al., 2025).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(Moltudal et al., 2022; Simon &amp; Zeng, 2024).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(Navas-Bonilla et al., 2025).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4"/>
          <w:szCs w:val="24"/>
          <w:rt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(Akram et al., 2022; Al Mazrooei et al., 2023; Ots et al., 2026).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(Johler et al., 2022).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(Masry-Herzallah, 2022), ואת ההגדרה של השוויון בלמידה מרחוק כסוגיה חברתית־תרבותית ולא טכנית (Frei-Landau &amp; Avidov-Ungar, 2022).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(Simon &amp; Zeng, 2024).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4"/>
          <w:szCs w:val="24"/>
          <w:rt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(Merikko &amp; Kivimäki, 2022; Moltudal et al., 2022; Tripathi et al., 2025). דבריה של יעל, "המחשב יכול לתת מידע, אבל הוא לא מכיר את הילד כמו שאני מכירה אותו", מנוסחים כמעט כמו כותרת מאמרם של מריקו וקיוומקי, "להחליף מורים? בספק" (Merikko &amp; Kivimäki, 2022). ואולם הראיונות מוסיפים שני ממדים. הראשון הוא העומס: שלוש מרואיינות הדגישו שהתפקיד התרחב ושדבר לא הוסר ממנו, ממצא התואם את המחקר הישראלי שמצא כי שימוש בבינה מלאכותית להכנת חומרים היה קשור דווקא לעומס ולשחיקה גבוהים יותר כאשר לא לווה בהכשרה ובזמן (אטיאס ואחרים, 2026), ואת הממצא שמורים ללא תכנון מוסדי חשים מוכנים פחות לאימוץ הכלים (Kim, 2025).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(Skantz-Åberg et al., 2022), ואת מסקנת הסקירה השיטתית שלפיה פיתוח מקצועי אפקטיבי הוא שיתופי, מעשי, מלווה ונתמך מוסדית (Amemasor et al., 2025).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(Tripathi et al., 2025). הזהירות שהמורות נוקטות כלפי תלמידיהן הצעירים תואמת גם את מדרג הגילאים שקבע משרד החינוך, האוסר שימוש בבוטים מבוססי בינה מלאכותית יוצרת בכיתות א' עד ג' ומתיר בכיתות ה' ו־ו' שימוש בשליטת המורה בלבד (משרד החינוך, 2026); הפרקטיקה של הקרנת תשובה של הכלי על המקרן ובדיקתה עם הכיתה, שתיארו שלוש מרואיינות, היא בדיוק אופן השימוש שההנחיות מתירות בגילאים אלה. החשש המשותף למרואיינות, שהילדים ידלגו על המאמץ שבו מתרחשת הלמידה, מקביל לסיכון של הסתמכות יתר המופיע בהנחיות, והוא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Eradze et al., 2023).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4"/>
          <w:szCs w:val="24"/>
          <w:rtl/>
        </w:rPr>
        <w:t xml:space="preserve">6.4 מסקנות</w:t>
      </w:r>
    </w:p>
    <w:p>
      <w:pPr>
        <w:bidi/>
        <w:spacing w:after="120" w:before="0" w:line="360"/>
        <w:jc w:val="both"/>
      </w:pPr>
      <w:r>
        <w:rPr>
          <w:rFonts w:ascii="David" w:cs="David" w:eastAsia="David" w:hAnsi="David"/>
          <w:b w:val="false"/>
          <w:bCs w:val="false"/>
          <w:i w:val="false"/>
          <w:iCs w:val="false"/>
          <w:sz w:val="24"/>
          <w:szCs w:val="24"/>
          <w:rt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(Masry-Herzallah, 2022),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(Ramírez Ruiz et al., 2024)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(Alfarwan, 2025),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24"/>
          <w:szCs w:val="24"/>
          <w:rtl/>
        </w:rPr>
        <w:t xml:space="preserve">8. השלכות המחקר</w:t>
      </w:r>
    </w:p>
    <w:p>
      <w:pPr>
        <w:bidi/>
        <w:spacing w:after="120" w:before="0" w:line="360"/>
        <w:jc w:val="both"/>
      </w:pPr>
      <w:r>
        <w:rPr>
          <w:rFonts w:ascii="David" w:cs="David" w:eastAsia="David" w:hAnsi="David"/>
          <w:b w:val="false"/>
          <w:bCs w:val="false"/>
          <w:i w:val="false"/>
          <w:iCs w:val="false"/>
          <w:sz w:val="24"/>
          <w:szCs w:val="24"/>
          <w:rt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(Moltudal et al., 2022; Simon &amp; Zeng, 2024)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ולעגן בה את מדרג הגילאים ואת חובת אישור ההורים שקבע משרד החינוך (משרד החינוך, 2026).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24"/>
          <w:szCs w:val="24"/>
          <w:rtl/>
        </w:rPr>
        <w:t xml:space="preserve">9. מגבלות המחקר</w:t>
      </w:r>
    </w:p>
    <w:p>
      <w:pPr>
        <w:bidi/>
        <w:spacing w:after="120" w:before="0" w:line="360"/>
        <w:jc w:val="both"/>
      </w:pPr>
      <w:r>
        <w:rPr>
          <w:rFonts w:ascii="David" w:cs="David" w:eastAsia="David" w:hAnsi="David"/>
          <w:b w:val="false"/>
          <w:bCs w:val="false"/>
          <w:i w:val="false"/>
          <w:iCs w:val="false"/>
          <w:sz w:val="24"/>
          <w:szCs w:val="24"/>
          <w:rt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(Byrne, 2022; Nowell et al., 2017).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24"/>
          <w:szCs w:val="24"/>
          <w:rtl/>
        </w:rPr>
        <w:t xml:space="preserve">רשימת מקורות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אטיאס, ע', בן אור, ז', הראל בן עזרא, ש', מישר-טל, ח' ורבין, א' (2026). הקשר בין שימוש בבינה מלאכותית לבין שחיקה ועומס בעבודת המורה [פוסטר]. בתוך א' בלאו, ד' אולניק-שמש, נ' גרי, א' כספי, י' סידי, י' עשת-אלקלעי, י' קלמן ונ' ברנדל (עורכים),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(עמ' 219-221).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בלאו, א', אולניק-שמש, ד', גרי, נ', כספי, א', סידי, י', עשת-אלקלעי, י' וקלמן, י' (2026). אימוץ בינה מלאכותית יוצרת (GenAI) לצרכי הוראה בקרב מורים. בתוך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rPr>
        <w:t xml:space="preserve">עיונים בחינוך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24</w:t>
      </w:r>
      <w:r>
        <w:rPr>
          <w:rFonts w:ascii="David" w:cs="David" w:eastAsia="David" w:hAnsi="David"/>
          <w:b w:val="false"/>
          <w:bCs w:val="false"/>
          <w:i w:val="false"/>
          <w:iCs w:val="false"/>
          <w:sz w:val="24"/>
          <w:szCs w:val="24"/>
          <w:rtl/>
        </w:rPr>
        <w:t xml:space="preserve">, 205-222.</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מגן-נגר, נ' ופירסטטר, א' (2017). מכשולים בהטמעת התקשוב בגני הילדים: תפיסות של גננות. </w:t>
      </w:r>
      <w:r>
        <w:rPr>
          <w:rFonts w:ascii="David" w:cs="David" w:eastAsia="David" w:hAnsi="David"/>
          <w:b w:val="false"/>
          <w:bCs w:val="false"/>
          <w:i/>
          <w:iCs/>
          <w:sz w:val="24"/>
          <w:szCs w:val="24"/>
          <w:rtl/>
        </w:rPr>
        <w:t xml:space="preserve">חוקרים@הגיל הרך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6</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מישר-טל, ח' (2024). למידה והוראה בעידן הבינה המלאכותית: אתגרי השימוש ב-ChatGPT.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22</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משרד החינוך, המינהל הפדגוגי ומינהל חדשנות וטכנולוגיה. (2026). </w:t>
      </w:r>
      <w:r>
        <w:rPr>
          <w:rFonts w:ascii="David" w:cs="David" w:eastAsia="David" w:hAnsi="David"/>
          <w:b w:val="false"/>
          <w:bCs w:val="false"/>
          <w:i/>
          <w:iCs/>
          <w:sz w:val="24"/>
          <w:szCs w:val="24"/>
          <w:rtl/>
        </w:rPr>
        <w:t xml:space="preserve">הנחיות שימוש בכלי בינה מלאכותית יוצרת במערכת החינוך</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20</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rPr>
        <w:t xml:space="preserve">דפים</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rPr>
        <w:t xml:space="preserve"> (עמ' 94-105).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rPr>
        <w:t xml:space="preserve"> (עמ' 162-175).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(2011). </w:t>
      </w:r>
      <w:r>
        <w:rPr>
          <w:rFonts w:ascii="David" w:cs="David" w:eastAsia="David" w:hAnsi="David"/>
          <w:b w:val="false"/>
          <w:bCs w:val="false"/>
          <w:i/>
          <w:iCs/>
          <w:sz w:val="24"/>
          <w:szCs w:val="24"/>
          <w:rt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rPr>
        <w:t xml:space="preserve">. רמות.</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Akram, H., Abdelrady, A. H., Al-Adwan, A. S., &amp; Ramzan, M. (2022). Teachers' perceptions of technology integration in teaching-learning practices: A systematic review.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 Article 920317. https://doi.org/10.3389/fpsyg.2022.920317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 Mazrooei, A. K., Hatem Almaki, S., Gunda, M., Alnoor, A., &amp; Manji Sulaiman, S. (2023). A systematic review of K-12 education responses to emergency remote teaching during the COVID-19 pandemic. </w:t>
      </w:r>
      <w:r>
        <w:rPr>
          <w:rFonts w:ascii="David" w:cs="David" w:eastAsia="David" w:hAnsi="David"/>
          <w:b w:val="false"/>
          <w:bCs w:val="false"/>
          <w:i/>
          <w:iCs/>
          <w:sz w:val="24"/>
          <w:szCs w:val="24"/>
          <w:rtl w:val="false"/>
        </w:rPr>
        <w:t xml:space="preserve">International Review of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68</w:t>
      </w:r>
      <w:r>
        <w:rPr>
          <w:rFonts w:ascii="David" w:cs="David" w:eastAsia="David" w:hAnsi="David"/>
          <w:b w:val="false"/>
          <w:bCs w:val="false"/>
          <w:i w:val="false"/>
          <w:iCs w:val="false"/>
          <w:sz w:val="24"/>
          <w:szCs w:val="24"/>
          <w:rtl w:val="false"/>
        </w:rPr>
        <w:t xml:space="preserve">(6), 811-841. https://doi.org/10.1007/s11159-023-09986-w</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Alberola-Mulet, I., Iglesias-Martínez, M. J., &amp; Lozano-Cabezas, I. (2021). Teachers' beliefs about the role of digital educational resources in educational practice: A qualitative study.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(5), Article 239. https://doi.org/10.3390/educsci11050239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Alfarwan, A. (2025). Generative AI use in K-12 education: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1647573. https://doi.org/10.3389/feduc.2025.1647573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Amemasor, S. K., Oppong, S. O., Ghansah, B., Benuwa, B.-B., &amp; Essel, D. D. (2025). A systematic review on the impact of teacher professional development on digital instructional integration and teaching practices.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1541031. https://doi.org/10.3389/feduc.2025.1541031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Awwad-Tabry, S., Levkovich, I., Pressley, T., &amp; Shinan-Altman, S. (2023). Arab teachers' well-being upon school reopening during COVID-19: Applying the Job Demands-Resources model.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(4), Article 418. https://doi.org/10.3390/educsci13040418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Byrne, D. (2022). A worked example of Braun and Clarke's approach to reflexive thematic analysis. </w:t>
      </w:r>
      <w:r>
        <w:rPr>
          <w:rFonts w:ascii="David" w:cs="David" w:eastAsia="David" w:hAnsi="David"/>
          <w:b w:val="false"/>
          <w:bCs w:val="false"/>
          <w:i/>
          <w:iCs/>
          <w:sz w:val="24"/>
          <w:szCs w:val="24"/>
          <w:rtl w:val="false"/>
        </w:rPr>
        <w:t xml:space="preserve">Quality &amp; Quantity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56</w:t>
      </w:r>
      <w:r>
        <w:rPr>
          <w:rFonts w:ascii="David" w:cs="David" w:eastAsia="David" w:hAnsi="David"/>
          <w:b w:val="false"/>
          <w:bCs w:val="false"/>
          <w:i w:val="false"/>
          <w:iCs w:val="false"/>
          <w:sz w:val="24"/>
          <w:szCs w:val="24"/>
          <w:rtl w:val="false"/>
        </w:rPr>
        <w:t xml:space="preserve">(3), 1391-1412. https://doi.org/10.1007/s11135-021-01182-y</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Eradze, M., De Martino, D., Tinterri, A., Albó, L., Bardone, E., Sunar, A. S., &amp; Dipace, A. (2023). After the pandemic: Teacher professional development for the digital educational innovation.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(5), Article 432. https://doi.org/10.3390/educsci13050432</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Faza, A., &amp; Lestari, I. A. (2025). Self-regulated learning in the digital age: A systematic review of strategies, technologies, benefits, and challenges. </w:t>
      </w:r>
      <w:r>
        <w:rPr>
          <w:rFonts w:ascii="David" w:cs="David" w:eastAsia="David" w:hAnsi="David"/>
          <w:b w:val="false"/>
          <w:bCs w:val="false"/>
          <w:i/>
          <w:iCs/>
          <w:sz w:val="24"/>
          <w:szCs w:val="24"/>
          <w:rtl w:val="false"/>
        </w:rPr>
        <w:t xml:space="preserve">The International Review of Research in Open and Distributed Learning</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26</w:t>
      </w:r>
      <w:r>
        <w:rPr>
          <w:rFonts w:ascii="David" w:cs="David" w:eastAsia="David" w:hAnsi="David"/>
          <w:b w:val="false"/>
          <w:bCs w:val="false"/>
          <w:i w:val="false"/>
          <w:iCs w:val="false"/>
          <w:sz w:val="24"/>
          <w:szCs w:val="24"/>
          <w:rtl w:val="false"/>
        </w:rPr>
        <w:t xml:space="preserve">(2), 23-58. https://doi.org/10.19173/irrodl.v26i2.8119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Frei-Landau, R., &amp; Avidov-Ungar, O. (2022). Educational equity amidst COVID-19: Exploring the online learning challenges of Bedouin and Jewish female preservice teachers in Israel. </w:t>
      </w:r>
      <w:r>
        <w:rPr>
          <w:rFonts w:ascii="David" w:cs="David" w:eastAsia="David" w:hAnsi="David"/>
          <w:b w:val="false"/>
          <w:bCs w:val="false"/>
          <w:i/>
          <w:iCs/>
          <w:sz w:val="24"/>
          <w:szCs w:val="24"/>
          <w:rtl w:val="false"/>
        </w:rPr>
        <w:t xml:space="preserve">Teaching and Teacher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111</w:t>
      </w:r>
      <w:r>
        <w:rPr>
          <w:rFonts w:ascii="David" w:cs="David" w:eastAsia="David" w:hAnsi="David"/>
          <w:b w:val="false"/>
          <w:bCs w:val="false"/>
          <w:i w:val="false"/>
          <w:iCs w:val="false"/>
          <w:sz w:val="24"/>
          <w:szCs w:val="24"/>
          <w:rtl w:val="false"/>
        </w:rPr>
        <w:t xml:space="preserve">, Article 103623. https://doi.org/10.1016/j.tate.2021.103623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Johler, M. M. S., Krumsvik, R. J., Bugge, H. E., &amp; Helgevold, N. (2022). Teachers' perceptions of their role and classroom management practices in a technology rich primary school classroom.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841385. https://doi.org/10.3389/feduc.2022.841385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Kim, J. (2025). Perceptions and preparedness of K-12 educators in adopting generative AI. </w:t>
      </w:r>
      <w:r>
        <w:rPr>
          <w:rFonts w:ascii="David" w:cs="David" w:eastAsia="David" w:hAnsi="David"/>
          <w:b w:val="false"/>
          <w:bCs w:val="false"/>
          <w:i/>
          <w:iCs/>
          <w:sz w:val="24"/>
          <w:szCs w:val="24"/>
          <w:rtl w:val="false"/>
        </w:rPr>
        <w:t xml:space="preserve">Research in Learning Technology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33</w:t>
      </w:r>
      <w:r>
        <w:rPr>
          <w:rFonts w:ascii="David" w:cs="David" w:eastAsia="David" w:hAnsi="David"/>
          <w:b w:val="false"/>
          <w:bCs w:val="false"/>
          <w:i w:val="false"/>
          <w:iCs w:val="false"/>
          <w:sz w:val="24"/>
          <w:szCs w:val="24"/>
          <w:rtl w:val="false"/>
        </w:rPr>
        <w:t xml:space="preserve">, Article 3448. https://doi.org/10.25304/rlt.v33.3448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Li, M., Ma, S., &amp; Shi, Y. (2023). Examining the effectiveness of gamification as a tool promoting teaching and learning in educational settings: A meta-analysis.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 Article 1253549. https://doi.org/10.3389/fpsyg.2023.1253549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Masry-Herzallah, A. (2022). Teachers' perceived effectiveness in online teaching during Covid-19 crisis: Comparing Jewish/Arab teachers in Israel. </w:t>
      </w:r>
      <w:r>
        <w:rPr>
          <w:rFonts w:ascii="David" w:cs="David" w:eastAsia="David" w:hAnsi="David"/>
          <w:b w:val="false"/>
          <w:bCs w:val="false"/>
          <w:i/>
          <w:iCs/>
          <w:sz w:val="24"/>
          <w:szCs w:val="24"/>
          <w:rtl w:val="false"/>
        </w:rPr>
        <w:t xml:space="preserve">International Journal of Instruction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(3), 649-676. https://doi.org/10.29333/iji.2022.15336a</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Merikko, J., &amp; Kivimäki, V. (2022). "Replacing teachers? Doubt it." Practitioners' views on adaptive learning technologies' impact on the teaching profession.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1010255. https://doi.org/10.3389/feduc.2022.1010255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Moltudal, S. H., Krumsvik, R. J., &amp; Høydal, K. L. (2022). Adaptive learning technology in primary education: Implications for professional teacher knowledge and classroom management.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830536. https://doi.org/10.3389/feduc.2022.830536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Mukhtarkyzy, K., Smagulova, L., Tokzhigitova, A., Serikbayeva, N., Sayakov, O., Turkmenbayev, A., &amp; Assilbayeva, R. (2025). A systematic review of the utility of assistive technologies for SEND students in schools.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1523797. https://doi.org/10.3389/feduc.2025.1523797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Navas-Bonilla, C. del R., Guerra-Arango, J. A., Oviedo-Guado, D. A., &amp; Murillo-Noriega, D. E. (2025). Inclusive education through technology: A systematic review of types, tools and characteristics.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1527851. https://doi.org/10.3389/feduc.2025.1527851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Nowell, L. S., Norris, J. M., White, D. E., &amp; Moules, N. J. (2017). Thematic analysis: Striving to meet the trustworthiness criteria. </w:t>
      </w:r>
      <w:r>
        <w:rPr>
          <w:rFonts w:ascii="David" w:cs="David" w:eastAsia="David" w:hAnsi="David"/>
          <w:b w:val="false"/>
          <w:bCs w:val="false"/>
          <w:i/>
          <w:iCs/>
          <w:sz w:val="24"/>
          <w:szCs w:val="24"/>
          <w:rtl w:val="false"/>
        </w:rPr>
        <w:t xml:space="preserve">International Journal of Qualitative Methods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16</w:t>
      </w:r>
      <w:r>
        <w:rPr>
          <w:rFonts w:ascii="David" w:cs="David" w:eastAsia="David" w:hAnsi="David"/>
          <w:b w:val="false"/>
          <w:bCs w:val="false"/>
          <w:i w:val="false"/>
          <w:iCs w:val="false"/>
          <w:sz w:val="24"/>
          <w:szCs w:val="24"/>
          <w:rtl w:val="false"/>
        </w:rPr>
        <w:t xml:space="preserve">(1), 1-13. https://doi.org/10.1177/1609406917733847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Ots, L., Arro, G., Aus, K., &amp; Oppi, P. (2026). School-based interventions for problematic digital technology use: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 Article 1747573. https://doi.org/10.3389/feduc.2026.1747573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Pérez-Juárez, M. Á., González-Ortega, D., &amp; Aguiar-Pérez, J. M. (2023). Digital distractions from the point of view of higher education students. </w:t>
      </w:r>
      <w:r>
        <w:rPr>
          <w:rFonts w:ascii="David" w:cs="David" w:eastAsia="David" w:hAnsi="David"/>
          <w:b w:val="false"/>
          <w:bCs w:val="false"/>
          <w:i/>
          <w:iCs/>
          <w:sz w:val="24"/>
          <w:szCs w:val="24"/>
          <w:rtl w:val="false"/>
        </w:rPr>
        <w:t xml:space="preserve">Sustainability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(7), Article 6044. https://doi.org/10.3390/su15076044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Ramírez Ruiz, J. J., Vargas Sanchez, A. D., &amp; Boude Figueredo, O. R. (2024). Impact of gamification on school engagement: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 Article 1466926. https://doi.org/10.3389/feduc.2024.1466926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Simon, P. D., &amp; Zeng, L. M. (2024). Behind the scenes of adaptive learning: A scoping review of teachers' perspectives on the use of adaptive learning technologies.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(12), Article 1413. https://doi.org/10.3390/educsci14121413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Skantz-Åberg, E., Lantz-Andersson, A., Lundin, M., &amp; Williams, P. (2022). Teachers' professional digital competence: An overview of conceptualisations in the literature. </w:t>
      </w:r>
      <w:r>
        <w:rPr>
          <w:rFonts w:ascii="David" w:cs="David" w:eastAsia="David" w:hAnsi="David"/>
          <w:b w:val="false"/>
          <w:bCs w:val="false"/>
          <w:i/>
          <w:iCs/>
          <w:sz w:val="24"/>
          <w:szCs w:val="24"/>
          <w:rtl w:val="false"/>
        </w:rPr>
        <w:t xml:space="preserve">Cogent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(1), Article 2063224. https://doi.org/10.1080/2331186X.2022.2063224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Tripathi, T., Sharma, S. R., Singh, V., Bhargava, P., &amp; Raj, C. (2025). Teaching and learning with AI: A qualitative study on K-12 teachers' use and engagement with artificial intelligence.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1651217. https://doi.org/10.3389/feduc.2025.1651217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Wang, A. I., &amp; Tahir, R. (2020). The effect of using Kahoot! for learning: A literature review. </w:t>
      </w:r>
      <w:r>
        <w:rPr>
          <w:rFonts w:ascii="David" w:cs="David" w:eastAsia="David" w:hAnsi="David"/>
          <w:b w:val="false"/>
          <w:bCs w:val="false"/>
          <w:i/>
          <w:iCs/>
          <w:sz w:val="24"/>
          <w:szCs w:val="24"/>
          <w:rtl w:val="false"/>
        </w:rPr>
        <w:t xml:space="preserve">Computers &amp;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149</w:t>
      </w:r>
      <w:r>
        <w:rPr>
          <w:rFonts w:ascii="David" w:cs="David" w:eastAsia="David" w:hAnsi="David"/>
          <w:b w:val="false"/>
          <w:bCs w:val="false"/>
          <w:i w:val="false"/>
          <w:iCs w:val="false"/>
          <w:sz w:val="24"/>
          <w:szCs w:val="24"/>
          <w:rtl w:val="false"/>
        </w:rPr>
        <w:t xml:space="preserve">, Article 103818. https://doi.org/10.1016/j.compedu.2020.103818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Wijayanti, S. H., &amp; Prasadja, H. (2022). Quizizz and Kahoot! for online-learning engagement in elementary school. In </w:t>
      </w:r>
      <w:r>
        <w:rPr>
          <w:rFonts w:ascii="David" w:cs="David" w:eastAsia="David" w:hAnsi="David"/>
          <w:b w:val="false"/>
          <w:bCs w:val="false"/>
          <w:i/>
          <w:iCs/>
          <w:sz w:val="24"/>
          <w:szCs w:val="24"/>
          <w:rtl w:val="false"/>
        </w:rPr>
        <w:t xml:space="preserve">Proceedings of the 6th Batusangkar International Conference (BIC 2021)</w:t>
      </w:r>
      <w:r>
        <w:rPr>
          <w:rFonts w:ascii="David" w:cs="David" w:eastAsia="David" w:hAnsi="David"/>
          <w:b w:val="false"/>
          <w:bCs w:val="false"/>
          <w:i w:val="false"/>
          <w:iCs w:val="false"/>
          <w:sz w:val="24"/>
          <w:szCs w:val="24"/>
          <w:rtl w:val="false"/>
        </w:rPr>
        <w:t xml:space="preserve">. EAI. https://doi.org/10.4108/eai.11-10-2021.2319534</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rPr>
        <w:t xml:space="preserve">(שאלת פתיחה)</w:t>
      </w:r>
      <w:r>
        <w:rPr>
          <w:rFonts w:ascii="David" w:cs="David" w:eastAsia="David" w:hAnsi="David"/>
          <w:b w:val="false"/>
          <w:bCs w:val="false"/>
          <w:i w:val="false"/>
          <w:iCs w:val="false"/>
          <w:sz w:val="24"/>
          <w:szCs w:val="24"/>
          <w:rt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מתייחסת לכלי בינה מלאכותית, כמו ChatGPT,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חדר המורים לאחר שעות הלימודים</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ומשתדלת לא להוסיף כלי רק כי הוא חדש ומגניב (משכה בכתפיה). ה-Google Classroom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ב-Kahoot וב-Wordwall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ב-Padlet אנחנו עושים משימות שיתופיות, נגיד כל ילד מעלה משפט אחד עם מילה חדשה שלמדנו, ואז כולם רואים את הלוח המשותף ומגיבים. ב-Canva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(גלגלה עיניים). הכי זכור לי שיעור עברית בכיתה ג' שבו תכננתי משימה שיתופית ב-Padlet.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ה-Padlet.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Kahoot,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Kahoot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Kahoot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ב-Kahoot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ב-Padlet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ב-Wordwall אני מכינה שלוש גרסאות של אותו תרגול, בסיסית, רגילה ומאתגרת, ושולחת לכל ילד קישור אחר דרך ה-Google Classroom.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ב-Canva או ב-Padlet,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ב-Google Classroom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ל-Classroom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ב-Google Classroom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אני חושבת שהטכנולוגיה יכולה לחזק את הקשר וגם להחליש אותו, תלוי איך משתמשים (עיניה נצצו). כשילד שולח לי ב-Classroom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ה-Classroom,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Google Classroom, סדנה של שעתיים על Wordwall,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שאני עדיין מגששת בו, ואני מודה בזה (צחקה). בתור מורה, אני משתמשת ב-ChatGPT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ChatGPT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תפסה אותי בשנה הראשונה שלי בהוראה, ואני חושבת שזה עיצב אותי (נאנחה). פתאום, בלי הכנה, מצאתי את עצמי מלמדת כיתה א' דרך ZOOM.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Classroom,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rPr>
        <w:t xml:space="preserve">משך הראיון: כ-75 דקות | מקום: חדר התקשוב בבית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Blooket ו-Quizizz אני מפעילה בערך פעם בשבוע בכל כיתה, בדרך כלל בסוף נושא או לפני מבחן, ולפעמים כפתיחה של שיעור כדי לראות מה זכרו מהפעם הקודמת. מסמכים שיתופיים ב-Google Docs נכנסים כשיש עבודה בקבוצות, נגיד פעם בשבועיים, כשהתלמידים בונים יחד טבלה של תוצאות ניסוי או כותבים דוח קצר. Padlet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Canva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ב-Google Docs לתכנון, חיפשו מידע במקורות שנתתי מראש, צילמו בטאבלטים של בית הספר וערכו ב-Canva.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על המוטיבציה ההשפעה ברורה, לפחות בטווח הקצר. כשאני אומרת שעכשיו משחקים Blooket,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Quizizz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Padlet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ב-Google Docs,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הנושא שהכי הרבה מדברים עליו בחדר המורים השנה, ובדרך כלל בפחד (חייכה). אני מנסה לגשת לזה פרגמטית. קודם כול, בשבילי כמורה, ChatGPT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ChatGPT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נקודת שבירה ונקודת מפנה בו זמנית (נשענה לאחור). בשבוע הראשון של הסגר ישבתי מול ZOOM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rPr>
        <w:t xml:space="preserve">משך הראיון: כ-80 דקות | מקום: ביתה של המרואיינת, בשעות הערב</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Google Classroom, אבל אני אגיד לך את האמת, בעיקר בשביל לשמור חומרים ולתת להורים ולילדים גישה לדפי עבודה, פחות בשביל שיעורי בית דיגיטליים, ואני אסביר אחר כך למה. Kahoot אני מפעילה אולי פעם בשבועיים, לחזרה לפני מבחן, כי הילדים אוהבים את זה. ובקבוצת WhatsApp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ב-Kahoot,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ל-Google Classroom,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ב-Google Classroom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ב-Google Classroom הודעה ארוכה על מה שקורה בבית, דבר שלא היה אומר לי בעל פה. אז הכלי פתח דלת. עם ההורים, כאן השינוי גדול יותר, ואני אגיד לך את האמת, לא כולו לטובה. WhatsApp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(גלגלה עיניים) הכשרה. אני אגיד לך את האמת: קיבלתי הרבה השתלמויות ומעט הכשרה. במשך השנים העבירו אותנו קורסים, על הלוח החכם, על Google Classroom, על אפליקציות, ובקורונה קורס מזורז על ZOOM.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(נאנחה) בינה מלאכותית. אני נמצאת באמצע הלמידה שלי בנושא הזה, אז אני אענה לך בזהירות. התנסיתי ב-ChatGPT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ChatGPT,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(חייכה חיוך עצוב) הקורונה הייתה בשבילי בית ספר בכפייה. עד אז ZOOM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ב-Google Classroom,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rPr>
        <w:t xml:space="preserve">משך הראיון: כ-65 דקות | מקום: מעבדת המדעים בבית הספר, בהפסקה הגדולה ולאחריה</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אז בפועל יש לי ארגז כלים די קבוע (קמה והדגימה על המחשב). הכי הרבה אני משתמשת בסימולציות של PhET, מצבי צבירה, מעגלים חשמליים, שברים, כמעט כל שבוע יש לפחות שיעור אחד עם סימולציה. במתמטיקה אני עובדת הרבה עם GeoGebra,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Google Classroom משמש אותי כתשתית, שם המשימות, שם הם מגישים, שם אני מחזירה משוב. Kahoot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ב-Canva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PhET,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(נאנחה). הכי כואב היה שיעור בכיתה ו' על שברים עם GeoGebra.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GeoGebra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Kahoot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ב-Canva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ב-GeoGebra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Canva,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ב-Google Classroom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Google Classroom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PhET, על GeoGebra, על Canva,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שמרגש אותי ומפחיד אותי באותה מידה (הרימה את ידיה). קודם כל בהוראה שלי: אני משתמשת ב-ChatGPT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קפיצה למים בלי ללמוד לשחות (צחקה בקול). בשבוע הראשון ישבתי מול ZOOM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Kahoot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ספריית 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לא בהמון, כי למדתי שעדיף כלים מעטים שאני והילדים מכירים טוב. Google Classroom הוא הבסיס, כמעט יומיומי, שם אני מעלה את המשימות, הקבצים והסרטונים, וגם ההורים יודעים שהכול נמצא שם. ב-Quizlet אני משתמשת בערך פעמיים בשבוע לאוצר מילים באנגלית, הילדים אוהבים את הכרטיסיות ואת המשחקים, ואני רואה מי תרגל ומי לא. Wordwall אני מכניסה כשאני רוצה משחק קצר של חמש דקות בתחילת שיעור או בסופו, מעין חימום, ובאמת זה עובד יפה לחזרה על זמנים בדקדוק. ב-Epic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WhatsApp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ב-Wordwall,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יש לי כמה כאלה, לצערי (צחקה). אבל השיעור שאני זוכרת הכי חזק היה שיעור בכיתה ו' שבו תכננתי שכל ילד יעבוד לבד עם מחשב נייד על משימת קריאה מדורגת ב-Epic.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ב-Wordwall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ב-Quizlet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ב-Quizlet,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ב-Epic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ב-Epic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ב-Google Classroom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על הערכה יש לי רגשות מעורבים (שיחקה בעט שבידה). מצד אחד, המשוב המיידי הוא מתנה. כשילד עונה על שאלון ב-Google Classroom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ב-Google Classroom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WhatsApp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ZOOM ועל Google Classroom,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ב-ChatGPT.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ChatGPT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קורס מזורז שלא ביקשתי (צחקה). לפני מרץ 2020 השתמשתי במקרן ובקצת משחקים, וזהו. תוך שבוע מצאתי את עצמי מלמדת אנגלית ב-ZOOM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ל-Google Classroom,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Present Perfect,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000000"/>
      <w:sz w:val="24"/>
      <w:szCs w:val="24"/>
    </w:rPr>
  </w:style>
  <w:style w:type="paragraph" w:styleId="Heading2">
    <w:name w:val="Heading 2"/>
    <w:basedOn w:val="Normal"/>
    <w:next w:val="Normal"/>
    <w:qFormat/>
    <w:pPr>
      <w:spacing w:after="120" w:before="200"/>
      <w:jc w:val="right"/>
      <w:outlineLvl w:val="1"/>
    </w:pPr>
    <w:rPr>
      <w:rFonts w:ascii="David" w:cs="David" w:eastAsia="David" w:hAnsi="David"/>
      <w:b/>
      <w:bCs/>
      <w:color w:val="000000"/>
      <w:sz w:val="24"/>
      <w:szCs w:val="24"/>
    </w:rPr>
  </w:style>
  <w:style w:type="paragraph" w:styleId="TOC1">
    <w:name w:val="toc 1"/>
    <w:basedOn w:val="Normal"/>
    <w:next w:val="Normal"/>
    <w:pPr>
      <w:tabs>
        <w:tab w:val="right" w:pos="9000"/>
      </w:tabs>
      <w:spacing w:after="60" w:line="360"/>
      <w:jc w:val="right"/>
    </w:pPr>
    <w:rPr>
      <w:rFonts w:ascii="David" w:cs="David" w:eastAsia="David" w:hAnsi="David"/>
      <w:color w:val="000000"/>
      <w:sz w:val="24"/>
      <w:szCs w:val="24"/>
    </w:rPr>
  </w:style>
  <w:style w:type="paragraph" w:styleId="TOC2">
    <w:name w:val="toc 2"/>
    <w:basedOn w:val="Normal"/>
    <w:next w:val="Normal"/>
    <w:pPr>
      <w:spacing w:after="60" w:line="360"/>
      <w:ind w:right="360"/>
      <w:jc w:val="right"/>
    </w:pPr>
    <w:rPr>
      <w:rFonts w:ascii="David" w:cs="David" w:eastAsia="David" w:hAnsi="David"/>
      <w:color w:val="000000"/>
      <w:sz w:val="24"/>
      <w:szCs w:val="24"/>
    </w:rPr>
  </w:style>
  <w:style w:type="paragraph" w:styleId="Heading3">
    <w:name w:val="Heading 3"/>
    <w:basedOn w:val="Normal"/>
    <w:next w:val="Normal"/>
    <w:qFormat/>
    <w:pPr>
      <w:spacing w:after="100" w:before="160"/>
      <w:jc w:val="right"/>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2d6aba8ee488faa379273ef34ccabfceff042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2026-09-07T21:43:04.466Z</dcterms:created>
  <dcterms:modified xsi:type="dcterms:W3CDTF">2026-09-07T21:43:04.466Z</dcterms:modified>
</cp:coreProperties>
</file>

<file path=docProps/custom.xml><?xml version="1.0" encoding="utf-8"?>
<Properties xmlns="http://schemas.openxmlformats.org/officeDocument/2006/custom-properties" xmlns:vt="http://schemas.openxmlformats.org/officeDocument/2006/docPropsVTypes"/>
</file>