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- 2025-2026</w:t>
      </w:r>
    </w:p>
    <w:p>
      <w:pPr>
        <w:bidi/>
        <w:spacing w:after="120" w:line="320"/>
        <w:jc w:val="center"/>
      </w:pPr>
      <w:r>
        <w:rPr>
          <w:rFonts w:ascii="Simplified Arabic" w:cs="Simplified Arabic" w:eastAsia="Simplified Arabic" w:hAnsi="Simplified Arabic"/>
          <w:b/>
          <w:bCs/>
          <w:sz w:val="28"/>
          <w:szCs w:val="28"/>
          <w:rtl/>
        </w:rPr>
        <w:t xml:space="preserve">مئشار التقييم (מחוון) - مرفق بالبحث بانفراد</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وفق ملاحظات المحاضر على الخطة السابقة</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pPr>
        <w:bidi/>
        <w:spacing w:after="80" w:line="300"/>
        <w:jc w:val="right"/>
      </w:pPr>
      <w:r>
        <w:rPr>
          <w:rFonts w:ascii="Simplified Arabic" w:cs="Simplified Arabic" w:eastAsia="Simplified Arabic" w:hAnsi="Simplified Arabic"/>
          <w:b/>
          <w:bCs/>
          <w:sz w:val="24"/>
          <w:szCs w:val="24"/>
          <w:rtl/>
        </w:rPr>
        <w:t xml:space="preserve">المحاضر: </w:t>
      </w:r>
      <w:r>
        <w:rPr>
          <w:rFonts w:ascii="Simplified Arabic" w:cs="Simplified Arabic" w:eastAsia="Simplified Arabic" w:hAnsi="Simplified Arabic"/>
          <w:b w:val="false"/>
          <w:bCs w:val="false"/>
          <w:sz w:val="24"/>
          <w:szCs w:val="24"/>
          <w:rtl/>
        </w:rPr>
        <w:t xml:space="preserve">د. عوني أحمد مصاروة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900"/>
        <w:gridCol w:w="3400"/>
      </w:tblGrid>
      <w:tr>
        <w:tc>
          <w:tcPr>
            <w:tcW w:type="dxa" w:w="4700"/>
          </w:tcPr>
          <w:p>
            <w:pPr>
              <w:bidi/>
              <w:spacing w:after="80" w:line="300"/>
              <w:jc w:val="center"/>
            </w:pPr>
            <w:r>
              <w:rPr>
                <w:rFonts w:ascii="Simplified Arabic" w:cs="Simplified Arabic" w:eastAsia="Simplified Arabic" w:hAnsi="Simplified Arabic"/>
                <w:b/>
                <w:bCs/>
                <w:sz w:val="24"/>
                <w:szCs w:val="24"/>
                <w:rtl/>
              </w:rPr>
              <w:t xml:space="preserve">الملاحظات الواجب تصويبها</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3400"/>
          </w:tcPr>
          <w:p>
            <w:pPr>
              <w:bidi/>
              <w:spacing w:after="80" w:line="300"/>
              <w:jc w:val="center"/>
            </w:pPr>
            <w:r>
              <w:rPr>
                <w:rFonts w:ascii="Simplified Arabic" w:cs="Simplified Arabic" w:eastAsia="Simplified Arabic" w:hAnsi="Simplified Arabic"/>
                <w:b/>
                <w:bCs/>
                <w:sz w:val="24"/>
                <w:szCs w:val="24"/>
                <w:rtl/>
              </w:rPr>
              <w:t xml:space="preserve">توضيح وبيان (تعبئة الطالب)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 صفحة الغلاف.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معتمدة، وتشمل: اسم الأكاديمية والكلية، عنوان البحث، المساق، اسم الطالب ورقم هويته، اسم المحاضر، والسنة الدراسية بالهجري والميلادي.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2. مقدمة خطة البحث بمنهجية علمية صحيحة.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تعرض أهمية الموضوع والدافع لاختياره وإشكاليته باختصار ووضوح، مع توثيق أوتوماتيكي في حاشية الصفحة.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3. الانتباه للأخطاء المطبعية وعلامات الترقيم وهمزات القطع والشدّة.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رُوجعت الخطة والبحث لغويًا وإملائيًا: همزات القطع والوصل، الشدّات، علامات الترقيم، وسلامة الصياغة.</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4. الدراسات السابقة (5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الالتزام بالعدد المطلوب (20 دراسة على الأقل): عدد الدراسات بالعربية (17)، بالأجنبية (10).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المجموع 27 دراسة: 17 دراسة عربية و10 دراسات أجنبية، كلها متعلقة مباشرة بموضوع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ترتيبها ترتيبًا زمنيًا صحيحًا متسلسلًا من الجديد للقديم.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رُتّبت الدراسات من 2025 نزولًا، العربية أولًا ثم الأجنبية، كلٌّ من الأحدث إلى الأقدم.</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توثيقها توثيقًا كاملًا منهجيًا.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كل دراسة موثقة: عائلة المؤلف، الاسم، (السنة)، العنوان، بلد النشر/المجلة، المجلد والعدد والصفحات، وترجمة عناوين الدراسات الأجنبية.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روابط الدراسات (روابط صحيحة يمكن فتحها).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أُرفق رابط إلكتروني فعّال لكل دراسة مع تاريخ الاسترجاع.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الفائدة من الدراسة (هذه الدراسة تخدم بحثي في...).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لكل دراسة فقرة "هذه الدراسة تخدم بحثي في..." مع تحديد الفصل/المبحث الذي تخدمه.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5. أهداف الدراسة (3-5) أهداف.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خمسة أهداف محددة قابلة للتحقيق.</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6. أسباب اختيار البحث (3-5) أسباب.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خمسة أسباب واضحة لاختيار الموضوع.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7. إشكالية البحث الأساسية + الأسئلة الفرعية.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سؤال رئيس جامع تتفرع عنه ستة أسئلة فرعية يجيب عنها البحث بفصوله.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8. منهجية البحث.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المنهج الاستقرائي التحليلي المقارن مع بيان خطوات الجمع والفرز والمقارنة والترجيح.</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9. التوثيق العلمي الأكاديمي الصحيح عند الاستعانة بمصادر ودراسات في كتابة الخطة.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بأرقام متسلسلة أوتوماتيكية في حاشية الصفحة (وورد) وفق دليل مكتبة أكاديمية القاسمي.</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10. خطة البحث وفق توزيع الفصول والمباحث والمطالب والفروع:</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الأول: فصل التعريفات (أساسية وذات صلة). (4 علامات): المبحث الأول تعريفات أساسية ومطالبه وفروعه (علامتان)؛ المبحث الثاني تعريفات ذات الصلة ومطالبه وفروعه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المبحث الأول سبعة مطالب بفروعها (الأحكام، الفقهية، النزع، الأجهزة الطبية، الميت، سريريًا، التعريف المركب - لغةً واصطلاحًا وطبًّا)؛ والمبحث الثاني ثمانية مطالب ذات صلة.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الثاني (التمهيدي): اسم الفصل، مباحثه، مطالبه، فروعه (علامتان): تاريخ ظهور المسألة (علامة)؛ الربط مع الشرائع السماوية والتشريعات الوضعية - شريعة حمورابي، البابليين، الفراعنة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تمهيدي كامل: المبحث الأول تاريخ ظهور المسألة (قبل أجهزة الإنعاش، معايير هارفارد 1968، دخولها الفقه المعاصر)؛ والمبحث الثاني الموت في اليهودية والمسيحية وشريعة حمورابي والفراعنة.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الثالث: (الآثار) المتعلقة بمسألة البحث: الآثار الفقهية (إلزامي - علامتان)، الآثار الطبية، الآثار الاجتماعية، الآثار القانونية (إلزامي - علامتان)، الآثار الاقتصادية، العلمية التقنية. (4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الآثار بستة مباحث: فقهية (تجهيز الميت، الإرث، العدة، الوصية، الجناية)، طبية، اجتماعية ونفسية، قانونية (جنائية ومدنية وتأديبية)، اقتصادية، وعلمية 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الرابع (التأصيل الفقهي) (36 علامة): المبحث الأول: تأصيل المسألة فقهيًا (8 علامات): تصوير المسألة (2)، مقاصد الشريعة (2)، فلسفة المقاصد (2)، ربط المسألة بالواقع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أربعة مطالب كاملة بفروعها: تصوير المسألة طبًّا وفقهًا؛ مقاصد حفظ الدين والنفس والمال؛ فلسفة المقاصد في الموازنة؛ وربط المسألة بواقع مستشفياتنا وقانون 2008.</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الثاني: تحرير المسألة (8 علامات): محل الاتفاق (2)، محل النزاع (2)، أسباب الاختلاف (2)، التكييف الفقهي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أربعة مطالب كاملة: أربع نقاط اتفاق، تحديد دقيق لمحل النزاع بمسألتيه، خمسة أسباب للاختلاف، وثلاثة أوجه للتكييف الفقهي.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الثالث: أقوال الفقهاء (20 علامة): المؤيدون وأدلتهم ومناقشتها (6)، المعارضون وأدلتهم ومناقشتها (6)، الرد على الأدلة (4)، القول الراجح ومبرراته (4).</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(توزيع للفروع): كل مطلب مقسم لفروع: الأقوال، الأدلة، المناقشة؛ وفرعان للرد على الفريقين؛ وفرعان للقول الراجح ومبررات الترجيح الأربعة.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الرابع: موقف القانون والطب والاجتماع والعلم (القانونية إلزامي - 6 دول: 4 عربية + 3 أجنبية - 6 علامات؛ الطبية علامتان؛ الاجتماعية علامتان؛ العلمية والتقنية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سبع دول في سبعة فروع: فلسطين، الأردن، مصر، الإمارات (عربية) + إسرائيل، الولايات المتحدة، فرنسا (أجنبية)؛ ومطالب مستقلة للمواقف الطبية والاجتماعية والعلمية التقنية.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11. الفصل الخامس: الفتاوى المؤيدة والفتاوى المعارضة (لكل مبحث 3 فتاوى مع الرد والتعقيب) (12 علامة): المبحث الأول الفتاوى المؤيدة (6)؛ المبحث الثاني الفتاوى المعارضة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(نقص الفتاوى والتعقيب): خمس فتاوى مؤيدة (مجمع الفقه الدولي 1986، ندوة الكويت 1985، دار الإفتاء المصرية رقم 11622، مجلس الإفتاء الأردني قرار 117، مركز الفتوى بإسلام ويب رقم 9005) وثلاث معارضة (مجمع الرابطة 1987، اللجنة الدائمة، ابن عثيمين)، لكل فتوى فرعان: النص/المضمون، والرد والتعقيب.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12. الخاتمة.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خاتمة تلخص رحلة البحث ونتيجته المركزية دون تكرار حرفي.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13. النتائج.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عشر نتائج مرقمة مستخلصة من فصول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14. التوصيات.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ست توصيات عملية قابلة للتطبيق (بروتوكول موحد، لجان شرعية-طبية، وثيقة تفهيم للأسر، تدريب الأئمة، إدراج بالمساقات، دراسة ميدانية).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15. الفهارس (5 علامات): فهرس الآيات القرآنية (علامة)، فهرس الأحاديث النبوية (علامة)، فهرس الأعلام (علامة)، فهرس المحتويات (علامة)، فهرس المصادر والمراجع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الفهارس الخمسة كاملة، وفهرس المحتويات أوتوماتيكي بأرقام الصفحات.</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16. قائمة المصادر والمراجع للخطة (4 علامات): التوثيق الأكاديمي الصحيح ترتيبًا ألفبائيًا (يشمل الدراسات السابقة) (على الأقل 40 مصدرًا ومرجعًا) (علامتان)؛ كتب المذاهب الإسلامية (3 كتب معتمدة لكل مذهب على الأقل) + المعاجم اللغوية والاصطلاحية + كتب أصول فقه وقواعد فقهية ومقاصد + كتب ودراسات معاصرة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(الترتيب الألفبائي): القائمة مصنفة ومرتبة ألفبائيًا داخل كل قسم، وتضم أكثر من 50 مصدرًا: 5 معاجم، 12 كتابًا من كتب المذاهب الأربعة (3 لكل مذهب)، 6 كتب أصول وقواعد ومقاصد، كتب حديث، كتب ودراسات معاصرة، قرارات وفتاوى، وقوانين سبع دول.</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17. متفرقات: (تسليم الخطة على المودل) + (تسليم الخطة مطبوعة).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(ملف وورد + PDF) وتسليم نسخة مطبوعة بالأسود للمحاضر في الموعد، والملفات محفوظة باسم الطالب بالإنجليزية ورقم الهوية.</w:t>
            </w:r>
          </w:p>
        </w:tc>
      </w:tr>
    </w:tbl>
    <w:p/>
    <w:p>
      <w:pPr>
        <w:bidi/>
        <w:spacing w:after="80" w:line="300"/>
        <w:jc w:val="right"/>
      </w:pPr>
      <w:r>
        <w:rPr>
          <w:rFonts w:ascii="Simplified Arabic" w:cs="Simplified Arabic" w:eastAsia="Simplified Arabic" w:hAnsi="Simplified Arabic"/>
          <w:b/>
          <w:bCs/>
          <w:sz w:val="24"/>
          <w:szCs w:val="24"/>
          <w:rtl/>
        </w:rPr>
        <w:t xml:space="preserve">ملاحظة الطالب: </w:t>
      </w:r>
      <w:r>
        <w:rPr>
          <w:rFonts w:ascii="Simplified Arabic" w:cs="Simplified Arabic" w:eastAsia="Simplified Arabic" w:hAnsi="Simplified Arabic"/>
          <w:b w:val="false"/>
          <w:bCs w:val="false"/>
          <w:sz w:val="24"/>
          <w:szCs w:val="24"/>
          <w:rtl/>
        </w:rPr>
        <w:t xml:space="preserve">عولجت جميع الملاحظات الواردة في تقييم الخطة السابقة: ترتيب الدراسات من الجديد للقديم، وإضافة الفائدة من كل دراسة، وإكمال أسباب الاختيار، وإعادة بناء الفصول وفق المنهجية المطلوبة (التعريفات، التمهيدي مع الشرائع، الآثار، التأصيل الفقهي بمباحثه الأربعة، الفتاوى بالرد والتعقيب)، وإضافة الخاتمة والنتائج والتوصيات والفهارس الخمسة، وترتيب قائمة المصادر ألفبائيًا مع كتب المذاهب الأربعة.</w:t>
      </w:r>
    </w:p>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30 / 08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2026-08-30T19:19:57.493Z</dcterms:created>
  <dcterms:modified xsi:type="dcterms:W3CDTF">2026-08-30T19:19:57.493Z</dcterms:modified>
</cp:coreProperties>
</file>

<file path=docProps/custom.xml><?xml version="1.0" encoding="utf-8"?>
<Properties xmlns="http://schemas.openxmlformats.org/officeDocument/2006/custom-properties" xmlns:vt="http://schemas.openxmlformats.org/officeDocument/2006/docPropsVTypes"/>
</file>