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אלאעסם</w:t>
      </w:r>
    </w:p>
    <w:p>
      <w:pPr>
        <w:bidi w:val="1"/>
        <w:spacing w:line="360" w:lineRule="auto" w:after="120"/>
        <w:jc w:val="center"/>
      </w:pPr>
      <w:r>
        <w:rPr>
          <w:rFonts w:ascii="David" w:hAnsi="David" w:cs="David"/>
          <w:b w:val="0"/>
          <w:i w:val="0"/>
          <w:sz w:val="26"/>
          <w:szCs w:val="26"/>
          <w:rtl w:val="1"/>
        </w:rPr>
        <w:t>ת.ז: 211455274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ההקשבה הזאת דורשת שנלמד לפרש גם את מה שאנשים על הרצף אומרים בלי מילים.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וחיפוש אחר הסיבה ולא השתקה. בבני ציון ההתנהגות של הדיירים נתפסה כבעיה שיש לדכא במקום כמסר שיש להקשיב לו, וזה בדיוק ההיפך מהגנה. לראות בהתנהגות קול הוא תנאי לזיהוי מוקדם של פגיעה ולשמירה על כבודו של האדם (רודריגז ברנע, 2025).</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