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800000" cy="1800000"/>
                    </a:xfrm>
                    <a:prstGeom prst="rect"/>
                  </pic:spPr>
                </pic:pic>
              </a:graphicData>
            </a:graphic>
          </wp:inline>
        </w:drawing>
      </w:r>
    </w:p>
    <w:p>
      <w:pPr>
        <w:bidi/>
        <w:spacing w:before="240" w:after="0"/>
        <w:jc w:val="center"/>
      </w:pPr>
      <w:r>
        <w:rPr>
          <w:sz w:val="26"/>
          <w:rtl/>
          <w:lang w:val="he-IL" w:bidi="he-IL"/>
          <w:szCs w:val="26"/>
        </w:rPr>
        <w:t>התכנית לייעוץ ופיתוח ארגוני, תואר שני</w:t>
      </w:r>
    </w:p>
    <w:p>
      <w:pPr>
        <w:bidi/>
        <w:spacing w:before="1400" w:after="0"/>
        <w:jc w:val="center"/>
      </w:pPr>
      <w:r>
        <w:rPr>
          <w:b/>
          <w:sz w:val="32"/>
          <w:rtl/>
          <w:lang w:val="he-IL" w:bidi="he-IL"/>
          <w:szCs w:val="32"/>
          <w:bCs/>
        </w:rPr>
        <w:t>עבודה מסכמת</w:t>
      </w:r>
    </w:p>
    <w:p>
      <w:pPr>
        <w:bidi/>
        <w:spacing w:before="240" w:after="0"/>
        <w:jc w:val="center"/>
      </w:pPr>
      <w:r>
        <w:rPr>
          <w:b/>
          <w:sz w:val="32"/>
          <w:rtl/>
          <w:lang w:val="he-IL" w:bidi="he-IL"/>
          <w:szCs w:val="32"/>
          <w:bCs/>
        </w:rPr>
        <w:t>היבטים משפטיים ואתיים בייעוץ ופיתוח ארגוני</w:t>
      </w:r>
    </w:p>
    <w:p>
      <w:pPr>
        <w:bidi/>
        <w:spacing w:before="0" w:after="0"/>
        <w:jc w:val="center"/>
      </w:pPr>
      <w:r>
        <w:rPr>
          <w:sz w:val="26"/>
          <w:rtl/>
          <w:lang w:val="he-IL" w:bidi="he-IL"/>
          <w:szCs w:val="26"/>
        </w:rPr>
        <w:t>(קוד הקורס: 3008)</w:t>
      </w:r>
    </w:p>
    <w:p>
      <w:pPr>
        <w:bidi/>
        <w:spacing w:before="1200" w:after="0"/>
        <w:jc w:val="center"/>
      </w:pPr>
      <w:r>
        <w:rPr>
          <w:sz w:val="26"/>
          <w:rtl/>
          <w:lang w:val="he-IL" w:bidi="he-IL"/>
          <w:szCs w:val="26"/>
        </w:rPr>
        <w:t>מרצה: ד"ר גליה הילדסהימר</w:t>
      </w:r>
    </w:p>
    <w:p>
      <w:pPr>
        <w:bidi/>
        <w:spacing w:before="0" w:after="0"/>
        <w:jc w:val="center"/>
      </w:pPr>
      <w:r>
        <w:rPr>
          <w:sz w:val="26"/>
          <w:rtl/>
          <w:lang w:val="he-IL" w:bidi="he-IL"/>
          <w:szCs w:val="26"/>
        </w:rPr>
        <w:t>מתרגל: עו"ד טל מזר</w:t>
      </w:r>
    </w:p>
    <w:p>
      <w:pPr>
        <w:bidi/>
        <w:spacing w:before="1200" w:after="0"/>
        <w:jc w:val="center"/>
      </w:pPr>
      <w:r>
        <w:rPr>
          <w:sz w:val="26"/>
          <w:rtl/>
          <w:lang w:val="he-IL" w:bidi="he-IL"/>
          <w:szCs w:val="26"/>
        </w:rPr>
        <w:t>מגישה: רוני לוי</w:t>
      </w:r>
    </w:p>
    <w:p>
      <w:pPr>
        <w:bidi/>
        <w:spacing w:before="0" w:after="0"/>
        <w:jc w:val="center"/>
      </w:pPr>
      <w:r>
        <w:rPr>
          <w:sz w:val="26"/>
          <w:rtl/>
          <w:lang w:val="he-IL" w:bidi="he-IL"/>
          <w:szCs w:val="26"/>
        </w:rPr>
        <w:t>ת"ז: ____________________</w:t>
      </w:r>
    </w:p>
    <w:p>
      <w:pPr>
        <w:bidi/>
        <w:spacing w:before="1200" w:after="0"/>
        <w:jc w:val="center"/>
      </w:pPr>
      <w:r>
        <w:rPr>
          <w:sz w:val="26"/>
          <w:rtl/>
          <w:lang w:val="he-IL" w:bidi="he-IL"/>
          <w:szCs w:val="26"/>
        </w:rPr>
        <w:t>סמסטר קיץ, שנה"ל תשפ"ו</w:t>
      </w:r>
    </w:p>
    <w:p>
      <w:pPr>
        <w:bidi/>
        <w:spacing w:before="0" w:after="0"/>
        <w:jc w:val="center"/>
      </w:pPr>
      <w:r>
        <w:rPr>
          <w:sz w:val="26"/>
          <w:rtl/>
          <w:lang w:val="he-IL" w:bidi="he-IL"/>
          <w:szCs w:val="26"/>
        </w:rPr>
        <w:t>אוקטובר 2026</w:t>
      </w:r>
    </w:p>
    <w:p>
      <w:pPr>
        <w:pageBreakBefore/>
        <w:bidi/>
        <w:spacing w:before="0" w:after="120"/>
        <w:jc w:val="center"/>
      </w:pPr>
      <w:r>
        <w:rPr>
          <w:b/>
          <w:sz w:val="28"/>
          <w:rtl/>
          <w:lang w:val="he-IL" w:bidi="he-IL"/>
          <w:szCs w:val="28"/>
          <w:bCs/>
        </w:rPr>
        <w:t>חלק א': מעמדה של "קבוצת עובדי NeuroTech" ופעולות הנהלת החברה</w:t>
      </w:r>
    </w:p>
    <w:p>
      <w:pPr>
        <w:bidi/>
        <w:spacing w:before="120" w:after="0"/>
        <w:jc w:val="both"/>
      </w:pPr>
      <w:r>
        <w:rPr>
          <w:b/>
          <w:sz w:val="24"/>
          <w:rtl/>
          <w:lang w:val="he-IL" w:bidi="he-IL"/>
          <w:szCs w:val="24"/>
          <w:bCs/>
        </w:rPr>
        <w:t>1. חופש ההתארגנות ומהו "ארגון עובדים"</w:t>
      </w:r>
    </w:p>
    <w:p>
      <w:pPr>
        <w:bidi/>
        <w:spacing w:before="0" w:after="0"/>
        <w:jc w:val="both"/>
      </w:pPr>
      <w:r>
        <w:rPr>
          <w:sz w:val="24"/>
          <w:rtl/>
          <w:lang w:val="he-IL" w:bidi="he-IL"/>
          <w:szCs w:val="24"/>
        </w:rPr>
        <w:t xml:space="preserve">לחופש ההתארגנות שני פנים: הזכות של עובד להתארגן ולפעול בארגון עובדים, והזכות שלא להתארגן, המכונה </w:t>
      </w:r>
      <w:r>
        <w:rPr>
          <w:b/>
          <w:sz w:val="24"/>
          <w:rtl/>
          <w:lang w:val="he-IL" w:bidi="he-IL"/>
          <w:szCs w:val="24"/>
          <w:bCs/>
        </w:rPr>
        <w:t>חופש מהתארגנות</w:t>
      </w:r>
      <w:r>
        <w:rPr>
          <w:sz w:val="24"/>
          <w:rtl/>
          <w:lang w:val="he-IL" w:bidi="he-IL"/>
          <w:szCs w:val="24"/>
        </w:rPr>
        <w:t xml:space="preserve"> (בן-ישראל, דיני עבודה כרך א, עמ' 48-32). הזכות הראשונה מעוגנת בסעיף 33ח לחוק הסכמים קיבוציים, התשי"ז–1957, וסעיף 33י(א) אוסר על מעסיק לפגוע בעובד בשל חברותו בארגון עובדים, בשל פעילותו להקמתו, וגם בשל הימנעותו מלהיות חבר בו.</w:t>
      </w:r>
    </w:p>
    <w:p>
      <w:pPr>
        <w:bidi/>
        <w:spacing w:before="0" w:after="0"/>
        <w:jc w:val="both"/>
      </w:pPr>
      <w:r>
        <w:rPr>
          <w:sz w:val="24"/>
          <w:rtl/>
          <w:lang w:val="he-IL" w:bidi="he-IL"/>
          <w:szCs w:val="24"/>
        </w:rPr>
        <w:t xml:space="preserve">ההכרה בגוף כ"ארגון עובדים" היא תנאי סף. רק ארגון עובדים יכול להיות </w:t>
      </w:r>
      <w:r>
        <w:rPr>
          <w:b/>
          <w:sz w:val="24"/>
          <w:rtl/>
          <w:lang w:val="he-IL" w:bidi="he-IL"/>
          <w:szCs w:val="24"/>
          <w:bCs/>
        </w:rPr>
        <w:t>ארגון יציג</w:t>
      </w:r>
      <w:r>
        <w:rPr>
          <w:sz w:val="24"/>
          <w:rtl/>
          <w:lang w:val="he-IL" w:bidi="he-IL"/>
          <w:szCs w:val="24"/>
        </w:rPr>
        <w:t>, כלומר הארגון שבו מאורגן המספר הגדול ביותר של העובדים, ובלבד שאינו פחות משליש (סעיף 3 לחוק), ורק הארגון היציג רשאי לחתום על הסכם קיבוצי מיוחד במפעל (סעיף 2(1) לחוק). החוק אינו מגדיר "ארגון עובדים", והמבחנים נקבעו ב</w:t>
      </w:r>
      <w:r>
        <w:rPr>
          <w:b/>
          <w:sz w:val="24"/>
          <w:rtl/>
          <w:lang w:val="he-IL" w:bidi="he-IL"/>
          <w:szCs w:val="24"/>
          <w:bCs/>
        </w:rPr>
        <w:t>עניין עמית</w:t>
      </w:r>
      <w:r>
        <w:rPr>
          <w:sz w:val="24"/>
          <w:rtl/>
          <w:lang w:val="he-IL" w:bidi="he-IL"/>
          <w:szCs w:val="24"/>
        </w:rPr>
        <w:t xml:space="preserve"> (בג"ץ 7029/95, פ"ד נא(2) 63 (1997)). מבחן החברות: החברים הם בעיקר עובדים שכירים והחברות רצונית. מבחן התקנון: לגוף יש מסמך יסוד שקובע את מטרותיו ואת אופן פעולת מוסדותיו. מבחן המטרה: קידום תנאי העבודה בדרך של משא ומתן קיבוצי. מבחן ההתארגנות: ארגון של קבע, עצמאי, המהווה קול נגדי למעסיק.</w:t>
      </w:r>
    </w:p>
    <w:p>
      <w:pPr>
        <w:bidi/>
        <w:spacing w:before="120" w:after="0"/>
        <w:jc w:val="both"/>
      </w:pPr>
      <w:r>
        <w:rPr>
          <w:b/>
          <w:sz w:val="24"/>
          <w:rtl/>
          <w:lang w:val="he-IL" w:bidi="he-IL"/>
          <w:szCs w:val="24"/>
          <w:bCs/>
        </w:rPr>
        <w:t>2. האם הקבוצה היא ארגון עובדים?</w:t>
      </w:r>
    </w:p>
    <w:p>
      <w:pPr>
        <w:bidi/>
        <w:spacing w:before="0" w:after="0"/>
        <w:jc w:val="both"/>
      </w:pPr>
      <w:r>
        <w:rPr>
          <w:sz w:val="24"/>
          <w:rtl/>
          <w:lang w:val="he-IL" w:bidi="he-IL"/>
          <w:szCs w:val="24"/>
        </w:rPr>
        <w:t xml:space="preserve">מבחני החברות והתקנון מתקיימים, והקושי מתעורר בשניים האחרים. </w:t>
      </w:r>
      <w:r>
        <w:rPr>
          <w:b/>
          <w:sz w:val="24"/>
          <w:rtl/>
          <w:lang w:val="he-IL" w:bidi="he-IL"/>
          <w:szCs w:val="24"/>
          <w:bCs/>
        </w:rPr>
        <w:t>מבחן המטרה.</w:t>
      </w:r>
      <w:r>
        <w:rPr>
          <w:sz w:val="24"/>
          <w:rtl/>
          <w:lang w:val="he-IL" w:bidi="he-IL"/>
          <w:szCs w:val="24"/>
        </w:rPr>
        <w:t xml:space="preserve"> אף שסעיף הסמכויות מקנה לקבוצה סמכויות של ארגון עובדים, מטרה ד' מוציאה מראש מתחום הפעולה הקיבוצית את השכר, הבונוסים והאופציות. גם מטרה ב', יציבות החברה והמשך פעילותה בישראל, היא אינטרס של המעסיק. אף הנימוק שבהודעת הקבוצה אין בו ממש מבחינה משפטית. הוראות הסכם קיבוצי הן כללים קוגנטיים, ואילו חוזה אישי הוא דיספוזיטיבי (סעיפים 19-20 לחוק), אך לפי סעיף 22 לחוק תנאי אישי שמיטיב עם העובד גובר על ההסכם הקיבוצי.</w:t>
      </w:r>
    </w:p>
    <w:p>
      <w:pPr>
        <w:bidi/>
        <w:spacing w:before="0" w:after="0"/>
        <w:jc w:val="both"/>
      </w:pPr>
      <w:r>
        <w:rPr>
          <w:b/>
          <w:sz w:val="24"/>
          <w:rtl/>
          <w:lang w:val="he-IL" w:bidi="he-IL"/>
          <w:szCs w:val="24"/>
          <w:bCs/>
        </w:rPr>
        <w:t>מבחן ההתארגנות.</w:t>
      </w:r>
      <w:r>
        <w:rPr>
          <w:sz w:val="24"/>
          <w:rtl/>
          <w:lang w:val="he-IL" w:bidi="he-IL"/>
          <w:szCs w:val="24"/>
        </w:rPr>
        <w:t xml:space="preserve"> הקבוצה הוקמה בתגובה ישירה להצטרפות העובדים להסתדרות ומגדירה את עצמה כמי שפועלת "בשיתוף פעולה ובהידברות" עם ההנהלה. גוף כזה אינו "קול נגדי" למעסיק.</w:t>
      </w:r>
    </w:p>
    <w:p>
      <w:pPr>
        <w:bidi/>
        <w:spacing w:before="0" w:after="0"/>
        <w:jc w:val="both"/>
      </w:pPr>
      <w:r>
        <w:rPr>
          <w:b/>
          <w:sz w:val="24"/>
          <w:rtl/>
          <w:lang w:val="he-IL" w:bidi="he-IL"/>
          <w:szCs w:val="24"/>
          <w:bCs/>
        </w:rPr>
        <w:t>עניין נוקיה.</w:t>
      </w:r>
      <w:r>
        <w:rPr>
          <w:sz w:val="24"/>
          <w:rtl/>
          <w:lang w:val="he-IL" w:bidi="he-IL"/>
          <w:szCs w:val="24"/>
        </w:rPr>
        <w:t xml:space="preserve"> בנוקיה הוקם ארגון פנימי כחלופה להסתדרות, שהדגיש "שמירה על החוזה האישי של כל עובד". בית הדין הארצי קבע כי העמידה במבחני עניין עמית נבחנת במועד הכרזת היציגות, וכי אין להקל בהם גם לארגון חדש, ובוודאי לא במבחן המטרה (עס"ק (ארצי) 6298-03-25, 10.6.2025, פס' 6, 41 ו-44). נפסק שמטרתו העיקרית של ארגון עובדים חייבת להיות משא ומתן קיבוצי לשיפור תנאי העבודה, ושהמודל הקיבוצי שבבסיס החוק אינו נסוג מפני התרחבות החוזים האישיים (שם, פס' 50-51). עוד נקבע כי אותנטיות היא תנאי הכרחי אך אינה תנאי מספיק, ו"התארגנות אותנטית של שני שלישים מעובדי המפעל בארגון שכל תכליתה התנגדות ליחסי עבודה קיבוציים אינה יכולה להפוך את אותה התארגנות לארגון עובדים" (פס' 47). בית הדין הדגיש גם את הטעם לכך: ארגון יציג מקבל כוח לחייב אף עובדים שאינם חברים בו, ולכן רק גוף הכשיר למלא תפקיד זה יוכר (פס' 43). הדמיון לענייננו בולט. בין מטרות הארגון בנוקיה נמנו "קידום רווחת כלל עובדי החברה", "שימור קיום האתר בישראל" ו"פעולה בדרכי הידברות וגישור" עם ההנהלה (פס' 9). שלוש המטרות הראשונות של הקבוצה, קידום רווחת העובדים, יציבות החברה והמשך פעילותה בישראל, ויצירת ערוץ הידברות עם ההנהלה, הן כמעט העתק שלהן. בנוקיה, כמו כאן, הוקנו לוועד בתקנון סמכויות לאשר הסכמים קיבוציים ולהכריז על סכסוך עבודה, ובכל זאת נקבע שהגוף אינו ארגון עובדים. מכאן שסמכויות פורמליות אינן מרפאות מטרה שאינה קיבוצית, ובית הדין הדגיש כי המבחנים נבחנים באופן ענייני ולפי המהות (פס' 48-49). מאחר שהעמידה במבחנים נבחנת במועד ההכרזה, אין בתיקון מאוחר של התקנון כדי להכשיר את הקבוצה, ואין נפקות לכך שעובדים רבים הצטרפו אליה. יתרה מזו, בנוקיה נקבע שהחברה לא תמכה בארגון הפנימי (פס' 18), ואילו כאן המנכ"ל בירך על הקמת הקבוצה ופעל נגד ההסתדרות, כך שגם מבחן העצמאות מהמעסיק אינו מתקיים.</w:t>
      </w:r>
    </w:p>
    <w:p>
      <w:pPr>
        <w:bidi/>
        <w:spacing w:before="0" w:after="0"/>
        <w:jc w:val="both"/>
      </w:pPr>
      <w:r>
        <w:rPr>
          <w:sz w:val="24"/>
          <w:rtl/>
          <w:lang w:val="he-IL" w:bidi="he-IL"/>
          <w:szCs w:val="24"/>
        </w:rPr>
        <w:t>אין בכך כדי לפגוע בחופש מהתארגנות. עובד רשאי שלא להצטרף להסתדרות, וסעיף 33י(א)(3) מגן עליו מפני פגיעה בשל כך. חברי הקבוצה אינם נספרים לצורך היציגות, והודעתה כי היא הארגון היציג חסרת נפקות. ההסתדרות תהיה יציגה אם חבריה יהיו לפחות שליש מכלל העובדים שההסכם יחול עליהם, ובלבד שזו הקבוצה המאורגנת הגדולה ביותר (סעיף 3 לחוק). כך היה בנוקיה, שבה ההסתדרות הוכרה כיציגה אף שהחברה כבר הכירה בארגון הפנימי, ולכן על ההנהלה להפסיק לנהל משא ומתן עם הקבוצה. חובת המעסיק לנהל משא ומתן בהתארגנות ראשונית חלה רק כלפי ארגון יציג לפי סעיף 3 (סעיף 33ח1), ואם ההסתדרות תהיה יציגה, עמה יהיה על ההנהלה לנהל משא ומתן. מכאן גם שאם תחתום ההנהלה על הסכם עם הקבוצה, לא יהיה זה הסכם קיבוצי, שכן לפי סעיף 1 לחוק צד להסכם קיבוצי חייב להיות ארגון עובדים, ולפי סעיף 2(1) הסכם מיוחד נחתם רק עם הארגון היציג. החברה תהפוך אז ל"מפעל מאורגן", וההוראות האישיות שבהסכם הקיבוצי יחולו על כל העובדים מהסוגים הכלולים בו, גם על מי שאינם חברים בהסתדרות (סעיפים 15(3) ו-19 לחוק).</w:t>
      </w:r>
    </w:p>
    <w:p>
      <w:pPr>
        <w:bidi/>
        <w:spacing w:before="120" w:after="0"/>
        <w:jc w:val="both"/>
      </w:pPr>
      <w:r>
        <w:rPr>
          <w:b/>
          <w:sz w:val="24"/>
          <w:rtl/>
          <w:lang w:val="he-IL" w:bidi="he-IL"/>
          <w:szCs w:val="24"/>
          <w:bCs/>
        </w:rPr>
        <w:t>3. האם פעולות ההנהלה נעשו כדין?</w:t>
      </w:r>
    </w:p>
    <w:p>
      <w:pPr>
        <w:bidi/>
        <w:spacing w:before="0" w:after="0"/>
        <w:jc w:val="both"/>
      </w:pPr>
      <w:r>
        <w:rPr>
          <w:sz w:val="24"/>
          <w:rtl/>
          <w:lang w:val="he-IL" w:bidi="he-IL"/>
          <w:szCs w:val="24"/>
        </w:rPr>
        <w:t>ב</w:t>
      </w:r>
      <w:r>
        <w:rPr>
          <w:b/>
          <w:sz w:val="24"/>
          <w:rtl/>
          <w:lang w:val="he-IL" w:bidi="he-IL"/>
          <w:szCs w:val="24"/>
          <w:bCs/>
        </w:rPr>
        <w:t>עניין פלאפון</w:t>
      </w:r>
      <w:r>
        <w:rPr>
          <w:sz w:val="24"/>
          <w:rtl/>
          <w:lang w:val="he-IL" w:bidi="he-IL"/>
          <w:szCs w:val="24"/>
        </w:rPr>
        <w:t xml:space="preserve"> (עס"ק (ארצי) 25476-09-12, 2.1.2013) איזן בית הדין בין חופש הביטוי של המעסיק לחופש ההתארגנות, והבחין בין </w:t>
      </w:r>
      <w:r>
        <w:rPr>
          <w:b/>
          <w:sz w:val="24"/>
          <w:rtl/>
          <w:lang w:val="he-IL" w:bidi="he-IL"/>
          <w:szCs w:val="24"/>
          <w:bCs/>
        </w:rPr>
        <w:t>ההתארגנות הפורצת</w:t>
      </w:r>
      <w:r>
        <w:rPr>
          <w:sz w:val="24"/>
          <w:rtl/>
          <w:lang w:val="he-IL" w:bidi="he-IL"/>
          <w:szCs w:val="24"/>
        </w:rPr>
        <w:t xml:space="preserve"> לבין שלב שבו כבר קיים ארגון יציג. רק לאחר שקם ארגון יציג מתרחב חופש הביטוי של המעסיק, ואף אז במגבלות. בשלב הראשון גובר חופש ההתארגנות: המעסיק אינו רשאי להביע עמדה על ההתארגנות בשום ערוץ, לרבות בשיחות אישיות ובדואר אלקטרוני, וגם הצבעה על חסרונותיה לעובדים או לחברה, נכונה ככל שתהיה, אסורה. ההתארגנות ב-NeuroTech נמצאת בשלב הפורץ: ההסתדרות טרם הוכרה כיציגה, והעובדים עדיין מחליטים אם להצטרף אליה. לכן שלוש פעולות ההנהלה אסורות. בנוסף, אסור להנהלה למנוע מנציגי ההסתדרות להיכנס למקום העבודה לשם קידום ההתארגנות, בכפוף לצורכי העבודה (סעיף 33ט לחוק).</w:t>
      </w:r>
    </w:p>
    <w:p>
      <w:pPr>
        <w:bidi/>
        <w:spacing w:before="0" w:after="0"/>
        <w:jc w:val="both"/>
      </w:pPr>
      <w:r>
        <w:rPr>
          <w:sz w:val="24"/>
          <w:rtl/>
          <w:lang w:val="he-IL" w:bidi="he-IL"/>
          <w:szCs w:val="24"/>
        </w:rPr>
        <w:t>הודעת הדואר האלקטרוני מציגה את ההסתדרות כגורם "חיצוני" שעלול לשנות את התרבות הארגונית וקוראת לעובדים "לשקול היטב". ההודעה אף מטעה: היא רומזת שהצטרפות להסתדרות תשלול מהעובדים את המשא ומתן האישי על שכרם, בעוד שלפי סעיף 22 לחוק תנאי אישי שמיטיב עם העובד ממשיך לחול גם לצד הסכם קיבוצי. זו הצגת חסרונות ההתארגנות בתכתובת אלקטרונית, כמו ההודעה שנפסלה בעניין פלאפון, אף שהנוסח מתון יותר. הרמז שההסתדרות תפגע ב"תנאי העבודה האישיים" דומה לאזהרה שם מפני נזק לחברה ולעובדים, ובית הדין קבע כי אזהרה כזו אסורה גם כשיש בה אמת. הנחיית מנהלי הצוותים לשוחח עם עובדיהם על "יתרונות המודל האישי" היא מפגש אישי שנאסר במפורש. שיחות כאלה נערכות ביחידות, בלי נוכחות נציג ההסתדרות, ובדיוק בהן פער הכוחות בין המעסיק לעובד הוא הגדול ביותר. חומרתה רבה, שכן המנהלים משפיעים על הבונוסים והקידום, וכל שיחה כזו עלולה להיתפס כאיום. אם יתברר שמנהלים קשרו בין הבונוסים או הקידום לבין ההצטרפות להסתדרות, תהיה זו גם הפרה של סעיף 33י(א), שבשלה רשאי בית הדין לפסוק פיצויים לדוגמה של עד 50,000 ש"ח, ובנסיבות חמורות עד 200,000 ש"ח (סעיף 33יא(ב)). הפגישה עם הקבוצה ודברי השבח כלפיה מעבירים בעקיפין את אותו מסר. בעניין פלאפון ניתנו צווים שאסרו על החברה להציג את עמדתה בכל ערוץ ולעקוב אחר העובדים המתארגנים, וצווים דומים מתבקשים גם כאן.</w:t>
      </w:r>
    </w:p>
    <w:p>
      <w:pPr>
        <w:bidi/>
        <w:spacing w:before="120" w:after="0"/>
        <w:jc w:val="both"/>
      </w:pPr>
      <w:r>
        <w:rPr>
          <w:b/>
          <w:sz w:val="24"/>
          <w:rtl/>
          <w:lang w:val="he-IL" w:bidi="he-IL"/>
          <w:szCs w:val="24"/>
          <w:bCs/>
        </w:rPr>
        <w:t>4. סיכום</w:t>
      </w:r>
    </w:p>
    <w:p>
      <w:pPr>
        <w:bidi/>
        <w:spacing w:before="0" w:after="0"/>
        <w:jc w:val="both"/>
      </w:pPr>
      <w:r>
        <w:rPr>
          <w:sz w:val="24"/>
          <w:rtl/>
          <w:lang w:val="he-IL" w:bidi="he-IL"/>
          <w:szCs w:val="24"/>
        </w:rPr>
        <w:t>טענות ההסתדרות מוצדקות. הקבוצה אינה ארגון עובדים, משום שמטרותיה אינן קיבוציות ומשום שאינה עצמאית מהמעסיק, כפי שנפסק בנסיבות כמעט זהות בעניין נוקיה. פעולות ההנהלה הפרו את הלכת פלאפון, ובית הדין מוסמך להורות לה לחדול מהן ולנהל משא ומתן עם ההסתדרות אם תוכח יציגותה.</w:t>
      </w:r>
    </w:p>
    <w:p>
      <w:pPr>
        <w:pageBreakBefore/>
        <w:bidi/>
        <w:spacing w:before="0" w:after="120"/>
        <w:jc w:val="center"/>
      </w:pPr>
      <w:r>
        <w:rPr>
          <w:b/>
          <w:sz w:val="28"/>
          <w:rtl/>
          <w:lang w:val="he-IL" w:bidi="he-IL"/>
          <w:szCs w:val="28"/>
          <w:bCs/>
        </w:rPr>
        <w:t>חלק ב': טענותיו של אורי</w:t>
      </w:r>
    </w:p>
    <w:p>
      <w:pPr>
        <w:bidi/>
        <w:spacing w:before="120" w:after="0"/>
        <w:jc w:val="both"/>
      </w:pPr>
      <w:r>
        <w:rPr>
          <w:b/>
          <w:sz w:val="24"/>
          <w:rtl/>
          <w:lang w:val="he-IL" w:bidi="he-IL"/>
          <w:szCs w:val="24"/>
          <w:bCs/>
        </w:rPr>
        <w:t>1. האם התנהגותה של דנה עלתה כדי הטרדה מינית?</w:t>
      </w:r>
    </w:p>
    <w:p>
      <w:pPr>
        <w:bidi/>
        <w:spacing w:before="0" w:after="0"/>
        <w:jc w:val="both"/>
      </w:pPr>
      <w:r>
        <w:rPr>
          <w:sz w:val="24"/>
          <w:rtl/>
          <w:lang w:val="he-IL" w:bidi="he-IL"/>
          <w:szCs w:val="24"/>
        </w:rPr>
        <w:t>החוק למניעת הטרדה מינית, התשנ"ח–1998, נועד להגן על כבוד האדם, על חירותו ועל פרטיותו (סעיף 1 לחוק). החלופה הרלוונטית היא סעיף 3(א)(4): אמירות שחוזרות על עצמן ועוסקות במיניותו של אדם, לאחר ש</w:t>
      </w:r>
      <w:r>
        <w:rPr>
          <w:b/>
          <w:sz w:val="24"/>
          <w:rtl/>
          <w:lang w:val="he-IL" w:bidi="he-IL"/>
          <w:szCs w:val="24"/>
          <w:bCs/>
        </w:rPr>
        <w:t>הבהיר שאינו מעוניין</w:t>
      </w:r>
      <w:r>
        <w:rPr>
          <w:sz w:val="24"/>
          <w:rtl/>
          <w:lang w:val="he-IL" w:bidi="he-IL"/>
          <w:szCs w:val="24"/>
        </w:rPr>
        <w:t xml:space="preserve"> בהן. השיחות התקיימו במשרד, ולכן ב"מסגרת יחסי עבודה". השאלה על נטייתו המינית של אורי אינה "התייחסות מבזה או משפילה" לפי סעיף 3(א)(5), האסורה גם בלי שהמוטרד הביע התנגדות, שכן נשאלה בשיחה הדדית ולא בדרך משפילה. גם סיפוריה של דנה על חייה שלה אינם מופנים כלפי מיניותו של אורי.</w:t>
      </w:r>
    </w:p>
    <w:p>
      <w:pPr>
        <w:bidi/>
        <w:spacing w:before="0" w:after="0"/>
        <w:jc w:val="both"/>
      </w:pPr>
      <w:r>
        <w:rPr>
          <w:sz w:val="24"/>
          <w:rtl/>
          <w:lang w:val="he-IL" w:bidi="he-IL"/>
          <w:szCs w:val="24"/>
        </w:rPr>
        <w:t>"הראה" פירושו במילים או בהתנהגות שאין ספק סביר לגבי משמעותה (סעיף 2 לחוק). אורי לא הראה זאת בתחילה: הוא שאל שאלות ושיתף פרטים מחייו. רק כשאמר שהוא מעדיף "להשאיר את הדברים האלה מחוץ לעבודה" הבהיר לראשונה, באופן שאינו מותיר ספק, שאינו מעוניין, ודנה הפסיקה מיד. מכאן שלא היו התייחסויות חוזרות לאחר שהביע את עמדתו.</w:t>
      </w:r>
    </w:p>
    <w:p>
      <w:pPr>
        <w:bidi/>
        <w:spacing w:before="0" w:after="0"/>
        <w:jc w:val="both"/>
      </w:pPr>
      <w:r>
        <w:rPr>
          <w:sz w:val="24"/>
          <w:rtl/>
          <w:lang w:val="he-IL" w:bidi="he-IL"/>
          <w:szCs w:val="24"/>
        </w:rPr>
        <w:t xml:space="preserve">השאלה העיקרית היא </w:t>
      </w:r>
      <w:r>
        <w:rPr>
          <w:b/>
          <w:sz w:val="24"/>
          <w:rtl/>
          <w:lang w:val="he-IL" w:bidi="he-IL"/>
          <w:szCs w:val="24"/>
          <w:bCs/>
        </w:rPr>
        <w:t>יחסי מרות</w:t>
      </w:r>
      <w:r>
        <w:rPr>
          <w:sz w:val="24"/>
          <w:rtl/>
          <w:lang w:val="he-IL" w:bidi="he-IL"/>
          <w:szCs w:val="24"/>
        </w:rPr>
        <w:t>. לפי סעיף 3(א)(6)(ג), כאשר ההתייחסויות נעשות תוך ניצול מרות ביחסי עבודה, אין צורך שהמוטרד יראה שאינו מעוניין. ב</w:t>
      </w:r>
      <w:r>
        <w:rPr>
          <w:b/>
          <w:sz w:val="24"/>
          <w:rtl/>
          <w:lang w:val="he-IL" w:bidi="he-IL"/>
          <w:szCs w:val="24"/>
          <w:bCs/>
        </w:rPr>
        <w:t>עניין מדר</w:t>
      </w:r>
      <w:r>
        <w:rPr>
          <w:sz w:val="24"/>
          <w:rtl/>
          <w:lang w:val="he-IL" w:bidi="he-IL"/>
          <w:szCs w:val="24"/>
        </w:rPr>
        <w:t xml:space="preserve"> (עש"ם 2203/05, 21.7.2005) נקבע שיחסי מרות התקיימו אף שהמטריד לא היה הממונה הישיר, ושבקשה עמומה להפסיק, שנבעה מחשש למקום העבודה, אינה שוללת את ההטרדה. עם זאת, שם העיר המטריד שוב ושוב על מראה המוטרדת, על לבושה ועל הבושם שלה, כלומר על מיניותה שלה, ואילו דנה סיפרה בעיקר על חייה שלה. לדנה אין סמכות לקבל או לפטר, אך היא משפיעה על שיבוץ וקידום עובדים צעירים כמו אורי. לפי הלכת מדר אלה יחסי מרות, ולכן השתתפותו של אורי בשיחות אינה מעידה בהכרח על הסכמה.</w:t>
      </w:r>
    </w:p>
    <w:p>
      <w:pPr>
        <w:bidi/>
        <w:spacing w:before="0" w:after="0"/>
        <w:jc w:val="both"/>
      </w:pPr>
      <w:r>
        <w:rPr>
          <w:sz w:val="24"/>
          <w:rtl/>
          <w:lang w:val="he-IL" w:bidi="he-IL"/>
          <w:szCs w:val="24"/>
        </w:rPr>
        <w:t>עם זאת, גם כשקיימים יחסי מרות נדרשות התייחסויות חוזרות המתמקדות במיניותו של המוטרד, ונדרש שנוצלו יחסי המרות. דנה שאלה את אורי על נטייתו המינית פעם אחת בלבד. לכן יש לבחון שתי אפשרויות. אם לא יוכרו יחסי מרות, אין הטרדה: אורי הראה שאינו מעוניין רק בשלב מאוחר, ומאז לא נאמרה כל התייחסות נוספת. אם יוכרו יחסי מרות, עדיין נדרשות התייחסויות חוזרות למיניותו שלו, ואילו רוב השיחות עסקו במיניותה של דנה, היו הדדיות ולא נקשרו למעמדו בעבודה. בשתי האפשרויות קשה לבסס הטרדה מינית. תחושתה של דנה כי הם "חברים טובים" אינה מכרעת: אילו הוכח ניצול מרות, לא היה צורך שאורי יראה דבר. אין זו גם הטרדה סביבתית, שכן ההתנהגות לא יצרה אווירה כללית במשרד.</w:t>
      </w:r>
    </w:p>
    <w:p>
      <w:pPr>
        <w:bidi/>
        <w:spacing w:before="120" w:after="0"/>
        <w:jc w:val="both"/>
      </w:pPr>
      <w:r>
        <w:rPr>
          <w:b/>
          <w:sz w:val="24"/>
          <w:rtl/>
          <w:lang w:val="he-IL" w:bidi="he-IL"/>
          <w:szCs w:val="24"/>
          <w:bCs/>
        </w:rPr>
        <w:t>2. חובות המעסיק והתנכלות</w:t>
      </w:r>
    </w:p>
    <w:p>
      <w:pPr>
        <w:bidi/>
        <w:spacing w:before="0" w:after="0"/>
        <w:jc w:val="both"/>
      </w:pPr>
      <w:r>
        <w:rPr>
          <w:sz w:val="24"/>
          <w:rtl/>
          <w:lang w:val="he-IL" w:bidi="he-IL"/>
          <w:szCs w:val="24"/>
        </w:rPr>
        <w:t>על המעסיק לפעול באופן סביר כדי למנוע הטרדה מינית, ולטפל בכל מקרה שנודע לו (סעיף 7(א) לחוק). חברת Frame מעסיקה כ-70 עובדים, ולכן עליה גם לפרסם תקנון מותאם ולמנות אחראי לבירור תלונות (סעיף 7(ב) לחוק; תקנות 2(ג), 4, 6(ט) ו-8 לתקנות למניעת הטרדה מינית (חובות מעסיק), התשנ"ח–1998). מעסיק שלא עשה כן אחראי בנזיקין למעשי עובדיו (סעיף 7(ג)). אורי לא התלונן, אך אם נודע לממונים על השיחות, היה על החברה להעביר את המקרה לבירור האחראי גם בלי תלונה (תקנה 6(ט)). אם לא היה בחברה תקנון או אחראי, תוכל אחריותה להתבסס על כך בלבד, בלי קשר לשאלה אם דנה עצמה הטרידה.</w:t>
      </w:r>
    </w:p>
    <w:p>
      <w:pPr>
        <w:bidi/>
        <w:spacing w:before="0" w:after="0"/>
        <w:jc w:val="both"/>
      </w:pPr>
      <w:r>
        <w:rPr>
          <w:b/>
          <w:sz w:val="24"/>
          <w:rtl/>
          <w:lang w:val="he-IL" w:bidi="he-IL"/>
          <w:szCs w:val="24"/>
          <w:bCs/>
        </w:rPr>
        <w:t>התנכלות</w:t>
      </w:r>
      <w:r>
        <w:rPr>
          <w:sz w:val="24"/>
          <w:rtl/>
          <w:lang w:val="he-IL" w:bidi="he-IL"/>
          <w:szCs w:val="24"/>
        </w:rPr>
        <w:t xml:space="preserve"> היא כל פגיעה בעובד שנגרמה בשל הטרדה מינית או בשל תלונה עליה (סעיף 3(ב)), והיא אינה מותנית בכך שהמוטרד סירב. החוק מרחיב את המושג לפגיעה לפי סעיף 7 לחוק שוויון ההזדמנויות בעבודה, שלעניינה די בהתייחסות אחת לפי סעיף 3(א)(4) (סעיף 7(ו) לחוק; סעיף 7(א) לחוק שוויון ההזדמנויות בעבודה, התשמ"ח–1988). אם יוכרו יחסי מרות, גם השאלה הבודדת על נטייתו של אורי עשויה להספיק. העברתו חודש אחרי שביקש לסיים את השיחות, והשפעתה של דנה על השיבוץ, מעוררות חשד לקשר כזה. השאלה המכרעת היא מי החליט על ההעברה ומדוע: אם דנה המליצה עליה או השפיעה עליה, מדובר בפגיעה שמקורה בהטרדה; אם ההחלטה התקבלה משיקולים ענייניים של צורכי הפרויקטים, אין התנכלות. אם יוכיח אורי שהייתה הטרדה, יעבור למעסיק הנטל להראות שההעברה לא נבעה ממנה (סעיף 6א לחוק), ובית הדין רשאי לפסוק פיצוי של עד 120,000 ש"ח ללא הוכחת נזק (סעיף 6(ב) לחוק). לצד ההליך האזרחי פתוחים בפני אורי גם הליך משמעתי, תלונה פלילית ותביעה נגד המעסיק. אם תוכח הטרדה, תישא דנה עצמה באחריות אישית, הן בנזיקין והן בפלילים (סעיפים 5 ו-6 לחוק). ואם יימצא שאין בהתנהגותה הטרדה, עדיין רשאית החברה להורות לה על כללי התנהגות ראויים במקום העבודה (תקנה 7(א)(1)).</w:t>
      </w:r>
    </w:p>
    <w:p>
      <w:pPr>
        <w:bidi/>
        <w:spacing w:before="120" w:after="0"/>
        <w:jc w:val="both"/>
      </w:pPr>
      <w:r>
        <w:rPr>
          <w:b/>
          <w:sz w:val="24"/>
          <w:rtl/>
          <w:lang w:val="he-IL" w:bidi="he-IL"/>
          <w:szCs w:val="24"/>
          <w:bCs/>
        </w:rPr>
        <w:t>3. הרעת תנאים והתפטרות בדין מפוטר</w:t>
      </w:r>
    </w:p>
    <w:p>
      <w:pPr>
        <w:bidi/>
        <w:spacing w:before="0" w:after="0"/>
        <w:jc w:val="both"/>
      </w:pPr>
      <w:r>
        <w:rPr>
          <w:sz w:val="24"/>
          <w:rtl/>
          <w:lang w:val="he-IL" w:bidi="he-IL"/>
          <w:szCs w:val="24"/>
        </w:rPr>
        <w:t xml:space="preserve">לפי </w:t>
      </w:r>
      <w:r>
        <w:rPr>
          <w:b/>
          <w:sz w:val="24"/>
          <w:rtl/>
          <w:lang w:val="he-IL" w:bidi="he-IL"/>
          <w:szCs w:val="24"/>
          <w:bCs/>
        </w:rPr>
        <w:t>הלכת מילפלדר</w:t>
      </w:r>
      <w:r>
        <w:rPr>
          <w:sz w:val="24"/>
          <w:rtl/>
          <w:lang w:val="he-IL" w:bidi="he-IL"/>
          <w:szCs w:val="24"/>
        </w:rPr>
        <w:t xml:space="preserve"> מעסיק אינו רשאי לשנות את חוזה העבודה באופן חד-צדדי (בג"ץ 239/83, פ"ד מא(2) 210 (1987)). הפררוגטיבה הניהולית מתירה לו לשנות נהלי עבודה, כמו חובת השתתפות בישיבות, אך שינוי הפוגע במעמד העובד הוא </w:t>
      </w:r>
      <w:r>
        <w:rPr>
          <w:b/>
          <w:sz w:val="24"/>
          <w:rtl/>
          <w:lang w:val="he-IL" w:bidi="he-IL"/>
          <w:szCs w:val="24"/>
          <w:bCs/>
        </w:rPr>
        <w:t>הרעת תנאים</w:t>
      </w:r>
      <w:r>
        <w:rPr>
          <w:sz w:val="24"/>
          <w:rtl/>
          <w:lang w:val="he-IL" w:bidi="he-IL"/>
          <w:szCs w:val="24"/>
        </w:rPr>
        <w:t>. הוצאתו של אורי מישיבות הקריאטיב לבדה מצויה בתחום הפררוגטיבה, אך העברתו מהפרויקטים המרכזיים לעריכה טכנית, עם פחות אחריות, פגעה במעמדו אף ששכרו לא השתנה. גם הפררוגטיבה כפופה לתום לב, ותזמון ההעברה מעורר ספק בכך. אם ההעברה נעשתה בשל סיום השיחות או בהשפעת דנה, היא חורגת מהפררוגטיבה ומהווה גם התנכלות; אם נעשתה מטעמים מקצועיים של צורכי הפרויקטים, היא מצויה בתחומה. שינוי ב"תיאור עיקרי התפקיד" מחייב הודעה בכתב בתוך 30 יום, ובהיעדרה הנטל עובר למעסיק (סעיפים 2(א)(3), 3 ו-5א לחוק הודעה לעובד ולמועמד לעבודה, התשס"ב–2002).</w:t>
      </w:r>
    </w:p>
    <w:p>
      <w:pPr>
        <w:bidi/>
        <w:spacing w:before="0" w:after="0"/>
        <w:jc w:val="both"/>
      </w:pPr>
      <w:r>
        <w:rPr>
          <w:sz w:val="24"/>
          <w:rtl/>
          <w:lang w:val="he-IL" w:bidi="he-IL"/>
          <w:szCs w:val="24"/>
        </w:rPr>
        <w:t xml:space="preserve">לפי סעיף 11(א) לחוק פיצויי פיטורים, התשכ"ג–1963, עובד שהתפטר בשל </w:t>
      </w:r>
      <w:r>
        <w:rPr>
          <w:b/>
          <w:sz w:val="24"/>
          <w:rtl/>
          <w:lang w:val="he-IL" w:bidi="he-IL"/>
          <w:szCs w:val="24"/>
          <w:bCs/>
        </w:rPr>
        <w:t>הרעה מוחשית</w:t>
      </w:r>
      <w:r>
        <w:rPr>
          <w:sz w:val="24"/>
          <w:rtl/>
          <w:lang w:val="he-IL" w:bidi="he-IL"/>
          <w:szCs w:val="24"/>
        </w:rPr>
        <w:t xml:space="preserve"> בתנאי עבודתו, או בשל נסיבות שבהן אי אפשר לצפות ממנו להמשיך לעבוד, ייחשב כמי שפוטר, אך רק לעניין פיצויי הפיטורים. הזכאות עצמה מותנית בשנת עבודה אחת ברציפות אצל אותו מעסיק (סעיף 1(א) לחוק), ותקופת העסקתו של אורי אינה ידועה. אילו הוכרה התפטרותו כפיטורים, היה זכאי לשכר חודש אחד לכל שנת עבודה, ולחלק יחסי בעד חלק משנה (סעיף 12(א) לחוק).</w:t>
      </w:r>
    </w:p>
    <w:p>
      <w:pPr>
        <w:bidi/>
        <w:spacing w:before="0" w:after="0"/>
        <w:jc w:val="both"/>
      </w:pPr>
      <w:r>
        <w:rPr>
          <w:sz w:val="24"/>
          <w:rtl/>
          <w:lang w:val="he-IL" w:bidi="he-IL"/>
          <w:szCs w:val="24"/>
        </w:rPr>
        <w:t xml:space="preserve">כדי לממש זכות זו, על העובד לתת למעסיק </w:t>
      </w:r>
      <w:r>
        <w:rPr>
          <w:b/>
          <w:sz w:val="24"/>
          <w:rtl/>
          <w:lang w:val="he-IL" w:bidi="he-IL"/>
          <w:szCs w:val="24"/>
          <w:bCs/>
        </w:rPr>
        <w:t>התראה</w:t>
      </w:r>
      <w:r>
        <w:rPr>
          <w:sz w:val="24"/>
          <w:rtl/>
          <w:lang w:val="he-IL" w:bidi="he-IL"/>
          <w:szCs w:val="24"/>
        </w:rPr>
        <w:t xml:space="preserve"> והזדמנות לתקן, לפעול בתום לב ובלי שיהוי, שכן עיכוב ממושך עלול ללמד שהעובד השלים עם השינוי. בעניין גולן (תב"ע (ארצי) נד/86-3) הכיר בית הדין בהרעת תנאים, אך קבע שעובד שהמשיך לעבוד שמונה חודשים בתנאים החדשים הסכים להם בהתנהגותו.</w:t>
      </w:r>
    </w:p>
    <w:p>
      <w:pPr>
        <w:bidi/>
        <w:spacing w:before="0" w:after="0"/>
        <w:jc w:val="both"/>
      </w:pPr>
      <w:r>
        <w:rPr>
          <w:sz w:val="24"/>
          <w:rtl/>
          <w:lang w:val="he-IL" w:bidi="he-IL"/>
          <w:szCs w:val="24"/>
        </w:rPr>
        <w:t>אורי לא מחה ולא התריע, ועבד ארבעה חודשים במתכונת החדשה, בשונה מהעובד בעניין סלמאן, שהועבר לתפקיד אחר ומחה בכתב על הפחתת שכרו לפני שהתפטר (ע"ע (ארצי) 28475-03-20, 7.12.2020, פס' 4-10). שתיקתו מלמדת על השלמה. יתרה מכך, בעניין סלמאן נפגע שכרו של העובד, ואילו שכרו והיקף משרתו של אורי לא השתנו, כך שהפגיעה בו מצומצמת יותר ומתמקדת במעמדו בלבד. גם חלופת "הנסיבות האחרות" אינה מסייעת לו: נדרשות נסיבות שלפי אמות מידה אובייקטיביות אין לדרוש מהעובד להישאר בהן, כמו השפלה או פגיעה, ולא די באי־שביעות רצון. השיחות הסתיימו חודשים לפני ההתפטרות. זאת ועוד, נדרש קשר סיבתי בין ההרעה לבין ההתפטרות, ואורי התפטר ארבעה חודשים אחרי ההעברה, בלי שהוכח מה הביא אותו להחליט דווקא אז. גם הזכות להתפטר בדין מפוטר כפופה לחובת תום הלב, ולכן טענה שמועלית לראשונה אחרי ההתפטרות, כשהמעסיק לא קיבל הזדמנות לתקן, תתקבל בקושי.</w:t>
      </w:r>
    </w:p>
    <w:p>
      <w:pPr>
        <w:bidi/>
        <w:spacing w:before="0" w:after="0"/>
        <w:jc w:val="both"/>
      </w:pPr>
      <w:r>
        <w:rPr>
          <w:b/>
          <w:sz w:val="24"/>
          <w:rtl/>
          <w:lang w:val="he-IL" w:bidi="he-IL"/>
          <w:szCs w:val="24"/>
          <w:bCs/>
        </w:rPr>
        <w:t>לסיכום</w:t>
      </w:r>
      <w:r>
        <w:rPr>
          <w:sz w:val="24"/>
          <w:rtl/>
          <w:lang w:val="he-IL" w:bidi="he-IL"/>
          <w:szCs w:val="24"/>
        </w:rPr>
        <w:t>, טענת ההטרדה המינית חלשה, שכן גם אם יוכרו יחסי מרות לא הוכחו התייחסויות חוזרות למיניותו של אורי. טענת ההתנכלות חזקה יותר, והיא תלויה בשאלה מי החליט על ההעברה ומדוע. טענת ההתפטרות בדין מפוטר נכשלת בשל היעדר התראה, השיהוי והקושי להוכיח קשר סיבתי. מנגד, החברה עצמה חשופה לטענות אם לא מילאה את חובותיה לפי סעיף 7 לחוק.</w:t>
      </w:r>
    </w:p>
    <w:p>
      <w:pPr>
        <w:pageBreakBefore/>
        <w:bidi/>
        <w:spacing w:before="0" w:after="120"/>
        <w:jc w:val="center"/>
      </w:pPr>
      <w:r>
        <w:rPr>
          <w:b/>
          <w:sz w:val="28"/>
          <w:rtl/>
          <w:lang w:val="he-IL" w:bidi="he-IL"/>
          <w:szCs w:val="28"/>
          <w:bCs/>
        </w:rPr>
        <w:t>רשימת מקורות</w:t>
      </w:r>
    </w:p>
    <w:p>
      <w:pPr>
        <w:bidi/>
        <w:spacing w:before="120" w:after="0"/>
        <w:jc w:val="both"/>
      </w:pPr>
      <w:r>
        <w:rPr>
          <w:b/>
          <w:sz w:val="24"/>
          <w:rtl/>
          <w:lang w:val="he-IL" w:bidi="he-IL"/>
          <w:szCs w:val="24"/>
          <w:bCs/>
        </w:rPr>
        <w:t>חקיקה</w:t>
      </w:r>
    </w:p>
    <w:p>
      <w:pPr>
        <w:bidi/>
        <w:spacing w:before="0" w:after="0"/>
        <w:jc w:val="both"/>
      </w:pPr>
      <w:r>
        <w:rPr>
          <w:sz w:val="24"/>
          <w:rtl/>
          <w:lang w:val="he-IL" w:bidi="he-IL"/>
          <w:szCs w:val="24"/>
        </w:rPr>
        <w:t>חוק הודעה לעובד ולמועמד לעבודה (תנאי עבודה והליכי מיון וקבלה לעבודה), התשס"ב–2002.</w:t>
      </w:r>
    </w:p>
    <w:p>
      <w:pPr>
        <w:bidi/>
        <w:spacing w:before="0" w:after="0"/>
        <w:jc w:val="both"/>
      </w:pPr>
      <w:r>
        <w:rPr>
          <w:sz w:val="24"/>
          <w:rtl/>
          <w:lang w:val="he-IL" w:bidi="he-IL"/>
          <w:szCs w:val="24"/>
        </w:rPr>
        <w:t>חוק הסכמים קיבוציים, התשי"ז–1957.</w:t>
      </w:r>
    </w:p>
    <w:p>
      <w:pPr>
        <w:bidi/>
        <w:spacing w:before="0" w:after="0"/>
        <w:jc w:val="both"/>
      </w:pPr>
      <w:r>
        <w:rPr>
          <w:sz w:val="24"/>
          <w:rtl/>
          <w:lang w:val="he-IL" w:bidi="he-IL"/>
          <w:szCs w:val="24"/>
        </w:rPr>
        <w:t>חוק למניעת הטרדה מינית, התשנ"ח–1998.</w:t>
      </w:r>
    </w:p>
    <w:p>
      <w:pPr>
        <w:bidi/>
        <w:spacing w:before="0" w:after="0"/>
        <w:jc w:val="both"/>
      </w:pPr>
      <w:r>
        <w:rPr>
          <w:sz w:val="24"/>
          <w:rtl/>
          <w:lang w:val="he-IL" w:bidi="he-IL"/>
          <w:szCs w:val="24"/>
        </w:rPr>
        <w:t>חוק פיצויי פיטורים, התשכ"ג–1963.</w:t>
      </w:r>
    </w:p>
    <w:p>
      <w:pPr>
        <w:bidi/>
        <w:spacing w:before="0" w:after="0"/>
        <w:jc w:val="both"/>
      </w:pPr>
      <w:r>
        <w:rPr>
          <w:sz w:val="24"/>
          <w:rtl/>
          <w:lang w:val="he-IL" w:bidi="he-IL"/>
          <w:szCs w:val="24"/>
        </w:rPr>
        <w:t>חוק שוויון ההזדמנויות בעבודה, התשמ"ח–1988.</w:t>
      </w:r>
    </w:p>
    <w:p>
      <w:pPr>
        <w:bidi/>
        <w:spacing w:before="0" w:after="0"/>
        <w:jc w:val="both"/>
      </w:pPr>
      <w:r>
        <w:rPr>
          <w:sz w:val="24"/>
          <w:rtl/>
          <w:lang w:val="he-IL" w:bidi="he-IL"/>
          <w:szCs w:val="24"/>
        </w:rPr>
        <w:t>תקנות למניעת הטרדה מינית (חובות מעסיק), התשנ"ח–1998.</w:t>
      </w:r>
    </w:p>
    <w:p>
      <w:pPr>
        <w:bidi/>
        <w:spacing w:before="120" w:after="0"/>
        <w:jc w:val="both"/>
      </w:pPr>
      <w:r>
        <w:rPr>
          <w:b/>
          <w:sz w:val="24"/>
          <w:rtl/>
          <w:lang w:val="he-IL" w:bidi="he-IL"/>
          <w:szCs w:val="24"/>
          <w:bCs/>
        </w:rPr>
        <w:t>פסיקה</w:t>
      </w:r>
    </w:p>
    <w:p>
      <w:pPr>
        <w:bidi/>
        <w:spacing w:before="0" w:after="0"/>
        <w:jc w:val="both"/>
      </w:pPr>
      <w:r>
        <w:rPr>
          <w:sz w:val="24"/>
          <w:rtl/>
          <w:lang w:val="he-IL" w:bidi="he-IL"/>
          <w:szCs w:val="24"/>
        </w:rPr>
        <w:t>בג"ץ 239/83 מילפלדר נ' בית הדין הארצי לעבודה, פ"ד מא(2) 210 (1987).</w:t>
      </w:r>
    </w:p>
    <w:p>
      <w:pPr>
        <w:bidi/>
        <w:spacing w:before="0" w:after="0"/>
        <w:jc w:val="both"/>
      </w:pPr>
      <w:r>
        <w:rPr>
          <w:sz w:val="24"/>
          <w:rtl/>
          <w:lang w:val="he-IL" w:bidi="he-IL"/>
          <w:szCs w:val="24"/>
        </w:rPr>
        <w:t>בג"ץ 7029/95 הסתדרות העובדים הכללית החדשה נ' בית הדין הארצי לעבודה, פ"ד נא(2) 63 (1997).</w:t>
      </w:r>
    </w:p>
    <w:p>
      <w:pPr>
        <w:bidi/>
        <w:spacing w:before="0" w:after="0"/>
        <w:jc w:val="both"/>
      </w:pPr>
      <w:r>
        <w:rPr>
          <w:sz w:val="24"/>
          <w:rtl/>
          <w:lang w:val="he-IL" w:bidi="he-IL"/>
          <w:szCs w:val="24"/>
        </w:rPr>
        <w:t>עס"ק (ארצי) 6298-03-25 הסתדרות העובדים הכללית החדשה – האגף להתאגדות עובדים נ' ארגון עובדי הפיתוח והשיווק בנוקיה ישראל (נבו 10.6.2025).</w:t>
      </w:r>
    </w:p>
    <w:p>
      <w:pPr>
        <w:bidi/>
        <w:spacing w:before="0" w:after="0"/>
        <w:jc w:val="both"/>
      </w:pPr>
      <w:r>
        <w:rPr>
          <w:sz w:val="24"/>
          <w:rtl/>
          <w:lang w:val="he-IL" w:bidi="he-IL"/>
          <w:szCs w:val="24"/>
        </w:rPr>
        <w:t>עס"ק (ארצי) 25476-09-12 הסתדרות העובדים הכללית החדשה נ' פלאפון תקשורת בע"מ (נבו 2.1.2013).</w:t>
      </w:r>
    </w:p>
    <w:p>
      <w:pPr>
        <w:bidi/>
        <w:spacing w:before="0" w:after="0"/>
        <w:jc w:val="both"/>
      </w:pPr>
      <w:r>
        <w:rPr>
          <w:sz w:val="24"/>
          <w:rtl/>
          <w:lang w:val="he-IL" w:bidi="he-IL"/>
          <w:szCs w:val="24"/>
        </w:rPr>
        <w:t>עש"ם 2203/05 מדר נ' נציבות שירות המדינה (נבו 21.7.2005).</w:t>
      </w:r>
    </w:p>
    <w:p>
      <w:pPr>
        <w:bidi/>
        <w:spacing w:before="0" w:after="0"/>
        <w:jc w:val="both"/>
      </w:pPr>
      <w:r>
        <w:rPr>
          <w:sz w:val="24"/>
          <w:rtl/>
          <w:lang w:val="he-IL" w:bidi="he-IL"/>
          <w:szCs w:val="24"/>
        </w:rPr>
        <w:t>תב"ע (ארצי) נד/86-3 יוחנן גולן נ' אי.אל.די. בע"מ.</w:t>
      </w:r>
    </w:p>
    <w:p>
      <w:pPr>
        <w:bidi/>
        <w:spacing w:before="0" w:after="0"/>
        <w:jc w:val="both"/>
      </w:pPr>
      <w:r>
        <w:rPr>
          <w:sz w:val="24"/>
          <w:rtl/>
          <w:lang w:val="he-IL" w:bidi="he-IL"/>
          <w:szCs w:val="24"/>
        </w:rPr>
        <w:t>ע"ע (ארצי) 28475-03-20 סלמאן נ' אקובג בע"מ (נבו 7.12.2020).</w:t>
      </w:r>
    </w:p>
    <w:p>
      <w:pPr>
        <w:bidi/>
        <w:spacing w:before="120" w:after="0"/>
        <w:jc w:val="both"/>
      </w:pPr>
      <w:r>
        <w:rPr>
          <w:b/>
          <w:sz w:val="24"/>
          <w:rtl/>
          <w:lang w:val="he-IL" w:bidi="he-IL"/>
          <w:szCs w:val="24"/>
          <w:bCs/>
        </w:rPr>
        <w:t>ספרות</w:t>
      </w:r>
    </w:p>
    <w:p>
      <w:pPr>
        <w:bidi/>
        <w:spacing w:before="0" w:after="0"/>
        <w:jc w:val="both"/>
      </w:pPr>
      <w:r>
        <w:rPr>
          <w:sz w:val="24"/>
          <w:rtl/>
          <w:lang w:val="he-IL" w:bidi="he-IL"/>
          <w:szCs w:val="24"/>
        </w:rPr>
        <w:t>רות בן-ישראל דיני עבודה כרך א 48-32 (2002).</w:t>
      </w:r>
    </w:p>
    <w:sectPr w:rsidR="00FC693F" w:rsidRPr="0006063C" w:rsidSect="00034616">
      <w:pgSz w:w="11906" w:h="16838"/>
      <w:pgMar w:top="1417" w:right="1417" w:bottom="1417"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hideSpellingErrors/>
  <w:hideGrammaticalError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David" w:hAnsi="David" w:cs="David" w:eastAsia="David"/>
      <w:sz w:val="24"/>
      <w:szCs w:val="24"/>
      <w:lang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Fn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