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color w:val="000000"/>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color w:val="000000"/>
          <w:sz w:val="26"/>
          <w:szCs w:val="26"/>
          <w:rtl/>
        </w:rPr>
        <w:t xml:space="preserve">המחלקה לגיל הרך</w:t>
      </w:r>
    </w:p>
    <w:p>
      <w:pPr>
        <w:bidi/>
        <w:spacing w:after="360" w:before="0" w:line="360" w:lineRule="auto"/>
        <w:jc w:val="center"/>
      </w:pPr>
      <w:r>
        <w:rPr>
          <w:rFonts w:ascii="Times New Roman" w:cs="David" w:eastAsia="David" w:hAnsi="Times New Roman"/>
          <w:b w:val="false"/>
          <w:color w:val="000000"/>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color w:val="000000"/>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color w:val="000000"/>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color w:val="000000"/>
          <w:sz w:val="26"/>
          <w:szCs w:val="26"/>
          <w:rtl/>
        </w:rPr>
        <w:t xml:space="preserve">מנחה: ד"ר עפר גת</w:t>
      </w:r>
    </w:p>
    <w:p>
      <w:pPr>
        <w:bidi/>
        <w:spacing w:after="120" w:before="0" w:line="360" w:lineRule="auto"/>
        <w:jc w:val="center"/>
      </w:pPr>
      <w:r>
        <w:rPr>
          <w:rFonts w:ascii="Times New Roman" w:cs="David" w:eastAsia="David" w:hAnsi="Times New Roman"/>
          <w:b w:val="false"/>
          <w:color w:val="000000"/>
          <w:sz w:val="26"/>
          <w:szCs w:val="26"/>
          <w:rtl/>
        </w:rPr>
        <w:t xml:space="preserve">מגיש/ה: ______________</w:t>
      </w:r>
    </w:p>
    <w:p>
      <w:pPr>
        <w:bidi/>
        <w:spacing w:after="600" w:before="0" w:line="360" w:lineRule="auto"/>
        <w:jc w:val="center"/>
      </w:pPr>
      <w:r>
        <w:rPr>
          <w:rFonts w:ascii="Times New Roman" w:cs="David" w:eastAsia="David" w:hAnsi="Times New Roman"/>
          <w:b w:val="false"/>
          <w:color w:val="000000"/>
          <w:sz w:val="26"/>
          <w:szCs w:val="26"/>
          <w:rtl/>
        </w:rPr>
        <w:t xml:space="preserve">ת"ז: ______________</w:t>
      </w:r>
    </w:p>
    <w:p>
      <w:pPr>
        <w:bidi/>
        <w:spacing w:after="0" w:before="0" w:line="360" w:lineRule="auto"/>
        <w:jc w:val="center"/>
      </w:pPr>
      <w:r>
        <w:rPr>
          <w:rFonts w:ascii="Times New Roman" w:cs="David" w:eastAsia="David" w:hAnsi="Times New Roman"/>
          <w:b w:val="false"/>
          <w:color w:val="000000"/>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color w:val="000000"/>
          <w:sz w:val="24"/>
          <w:szCs w:val="24"/>
          <w:rtl/>
        </w:rPr>
        <w:t xml:space="preserve">הערה: לעדכון מספרי העמודים יש ללחוץ על התוכן, ללחוץ לחיצה ימנית ולבחור "עדכן שדה".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1. מבוא</w:t>
      </w:r>
    </w:p>
    <w:p>
      <w:pPr>
        <w:bidi/>
        <w:spacing w:after="0" w:before="0" w:line="480" w:lineRule="auto"/>
        <w:jc w:val="both"/>
      </w:pPr>
      <w:r>
        <w:rPr>
          <w:rFonts w:ascii="Times New Roman" w:cs="David" w:eastAsia="David" w:hAnsi="Times New Roman"/>
          <w:b w:val="false"/>
          <w:color w:val="000000"/>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color w:val="000000"/>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color w:val="000000"/>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color w:val="000000"/>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2. סקירת ספרות</w:t>
      </w:r>
    </w:p>
    <w:p>
      <w:pPr>
        <w:bidi/>
        <w:spacing w:after="0" w:before="0" w:line="480" w:lineRule="auto"/>
        <w:jc w:val="both"/>
      </w:pPr>
      <w:r>
        <w:rPr>
          <w:rFonts w:ascii="Times New Roman" w:cs="David" w:eastAsia="David" w:hAnsi="Times New Roman"/>
          <w:b w:val="false"/>
          <w:color w:val="000000"/>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2.1 המרחב הפיזי כסביבה חינוכית</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העבודה היא שהמרחב הפיזי איננו רקע ניטרלי להתרחשות החינוכית אלא שותף לה. עוד בשנות השמונים הצביעו זבה וצ'רצ'מן (1988) על הפער שבין עקרונות התכנון של חצרות בתי הספר לבין עקרונות החינוך: החצר נתפסת בעיני מתכננים ומחנכים כשטח נטול ערך ייחודי, אינה זוכה לתכנון כישות עצמאית, ולרוב היא נותרת שטוחה, חסרת צורה מוגדרת וענייה במתקנים ובצמחייה. לדבריהן, עיקר הפוטנציאל החינוכי של החצר גלום בהיותה מעין "כיכר העיר" של הילדים (זבה וצ'רצ'מן, 1988, עמ' 38): המקום שבו הילד פוגש בני גיל שונים, משחק ומשוחח, מתנהל במשא ומתן על אוספים והחלפות ומייצב את מקומו בקרב בני גילו, לצד מגע בלתי אמצעי עם הטבע. ביקורת זו, שנכתבה לפני כמעט ארבעה עשורים, עודנה מהדהדת בכתיבה העכשווית.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bidi/>
        <w:spacing w:after="0" w:before="0" w:line="480" w:lineRule="auto"/>
        <w:jc w:val="both"/>
      </w:pPr>
      <w:r>
        <w:rPr>
          <w:rFonts w:ascii="Times New Roman" w:cs="David" w:eastAsia="David" w:hAnsi="Times New Roman"/>
          <w:b w:val="false"/>
          <w:color w:val="000000"/>
          <w:sz w:val="24"/>
          <w:szCs w:val="24"/>
          <w:rtl/>
        </w:rPr>
        <w:t xml:space="preserve">הריס (Harris, 2017) מדגישה שהמרחב פועל בשני מובנים: כמרחב פיזי, על צמחייתו ופתיחותו, וכמרחב מטפורי שבו מותרות התנהגויות שאינן מותרות בכיתה. בראיונות שערכה עם מנחים עלה שהיציאה החוצה משחררת את הלמידה ממגבלות הכיתה ומתוכנית הלימודים ומאפשרת גמישות והיענות לילדים. תובנה זו נוגעת במישרין לחצר בית הספר בשעת ההפסקה: זהו המרחב שבו הכללים הפורמליים רופפים מכול, ולכן דווקא בו אפשר לצפות בהתנהגות המאורגנת בידי הילדים עצמם.</w:t>
      </w:r>
    </w:p>
    <w:p>
      <w:pPr>
        <w:bidi/>
        <w:spacing w:after="0" w:before="0" w:line="480" w:lineRule="auto"/>
        <w:jc w:val="both"/>
      </w:pPr>
      <w:r>
        <w:rPr>
          <w:rFonts w:ascii="Times New Roman" w:cs="David" w:eastAsia="David" w:hAnsi="Times New Roman"/>
          <w:b w:val="false"/>
          <w:color w:val="000000"/>
          <w:sz w:val="24"/>
          <w:szCs w:val="24"/>
          <w:rtl/>
        </w:rPr>
        <w:t xml:space="preserve">זבה וצ'רצ'מן (1988) לא הסתפקו בביקורת אלא התוו דרך לגישור על הפער: מול כל עיקרון חינוכי העמידו עיקרון תכנוני מקביל. כך, מן העיקרון החינוכי שיש לתת אמון בילד ובבחירותיו נגזר העיקרון שסביבת החצר תתוכנן כסביבה הנותנת בילד אמון, ומן התפיסה שהחצר היא מקום לימוד נגזרה הדרישה לתכנן אותה כסביבת לימוד וכנושא לימוד בפני עצמו. לסיכום תת פרק זה: המרחב הפיזי של בית הספר איננו עניין טכני של תשתיות אלא סוגיה חינוכית הדורשת תכנון מכוון, והזנחתו מותירה פוטנציאל התפתחותי שלם בלתי ממומש. הבנה זו היא המסגרת שבתוכה נבחנת בהמשך ההפסקה בחצר.</w:t>
      </w:r>
    </w:p>
    <w:p>
      <w:pPr>
        <w:pStyle w:val="Heading2"/>
        <w:bidi/>
        <w:spacing w:after="0" w:before="120" w:line="480" w:lineRule="auto"/>
        <w:jc w:val="start"/>
      </w:pPr>
      <w:r>
        <w:rPr>
          <w:rFonts w:ascii="Times New Roman" w:cs="David" w:eastAsia="David" w:hAnsi="Times New Roman"/>
          <w:b/>
          <w:bCs/>
          <w:color w:val="000000"/>
          <w:sz w:val="26"/>
          <w:szCs w:val="26"/>
          <w:rtl/>
        </w:rPr>
        <w:t xml:space="preserve">2.2 חצר בית הספר וההפסקה</w:t>
      </w:r>
    </w:p>
    <w:p>
      <w:pPr>
        <w:bidi/>
        <w:spacing w:after="0" w:before="0" w:line="480" w:lineRule="auto"/>
        <w:jc w:val="both"/>
      </w:pPr>
      <w:r>
        <w:rPr>
          <w:rFonts w:ascii="Times New Roman" w:cs="David" w:eastAsia="David" w:hAnsi="Times New Roman"/>
          <w:b w:val="false"/>
          <w:color w:val="000000"/>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color w:val="000000"/>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bidi/>
        <w:spacing w:after="0" w:before="0" w:line="480" w:lineRule="auto"/>
        <w:jc w:val="both"/>
      </w:pPr>
      <w:r>
        <w:rPr>
          <w:rFonts w:ascii="Times New Roman" w:cs="David" w:eastAsia="David" w:hAnsi="Times New Roman"/>
          <w:b w:val="false"/>
          <w:color w:val="000000"/>
          <w:sz w:val="24"/>
          <w:szCs w:val="24"/>
          <w:rtl/>
        </w:rPr>
        <w:t xml:space="preserve">שני המחקרים הללו מלמדים גם על שונות בתוך קבוצת הילדים ובסביבתם. בתצפיות ההפסקה באסטוניה נמצאו הבדלי מגדר עקביים: בנים נטו לפעילויות ספורט תחרותיות, ובנות העדיפו פעילויות חברתיות ורגועות יותר (Lemberg et al., 2023). בקרב הגננות הישראליות נמצא שהיקף היציאה החוצה תלוי במערך שלם של גורמים, ובהם עמדות ההורים, הצוות, הרשות המקומית ומשרד החינוך (Levy et al., 2025). המפגש של ילדים עם מרחב החוץ מעוצב אפוא הן על ידי המרחב עצמו הן על ידי המבוגרים הסובבים אותו.</w:t>
      </w:r>
    </w:p>
    <w:p>
      <w:pPr>
        <w:bidi/>
        <w:spacing w:after="0" w:before="0" w:line="480" w:lineRule="auto"/>
        <w:jc w:val="both"/>
      </w:pPr>
      <w:r>
        <w:rPr>
          <w:rFonts w:ascii="Times New Roman" w:cs="David" w:eastAsia="David" w:hAnsi="Times New Roman"/>
          <w:b w:val="false"/>
          <w:color w:val="000000"/>
          <w:sz w:val="24"/>
          <w:szCs w:val="24"/>
          <w:rtl/>
        </w:rPr>
        <w:t xml:space="preserve">מעבר לשאלה כמה זמן שוהים בחוץ, הספרות מלמדת גם אילו מאפיינים של החצר עושים את ההבדל. סקירת ההיקף הרחבה בתחום מצאה שסימוני משחק על הקרקע הם ההתערבות העקבית ביותר להגדלת הפעילות הגופנית, אך גם שאין פתרון אחד המתאים לכל חצר: העיצוב צריך להיגזר מצורכי הילדים במקום המסוים (Schipperijn et al., 2024). לסיכום תת פרק זה: ההפסקה היא מסגרת הזמן המרכזית שבה החצר פוגשת את הילדים, ואיכות המפגש תלויה במידה רבה במה שיש בחצר ובאופן שבו הוא מאורגן.</w:t>
      </w:r>
    </w:p>
    <w:p>
      <w:pPr>
        <w:pStyle w:val="Heading2"/>
        <w:bidi/>
        <w:spacing w:after="0" w:before="120" w:line="480" w:lineRule="auto"/>
        <w:jc w:val="start"/>
      </w:pPr>
      <w:r>
        <w:rPr>
          <w:rFonts w:ascii="Times New Roman" w:cs="David" w:eastAsia="David" w:hAnsi="Times New Roman"/>
          <w:b/>
          <w:bCs/>
          <w:color w:val="000000"/>
          <w:sz w:val="26"/>
          <w:szCs w:val="26"/>
          <w:rtl/>
        </w:rPr>
        <w:t xml:space="preserve">2.3 משחק חופשי והתפתחות חברתית בגיל בית הספר היסודי</w:t>
      </w:r>
    </w:p>
    <w:p>
      <w:pPr>
        <w:bidi/>
        <w:spacing w:after="0" w:before="0" w:line="480" w:lineRule="auto"/>
        <w:jc w:val="both"/>
      </w:pPr>
      <w:r>
        <w:rPr>
          <w:rFonts w:ascii="Times New Roman" w:cs="David" w:eastAsia="David" w:hAnsi="Times New Roman"/>
          <w:b w:val="false"/>
          <w:color w:val="000000"/>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color w:val="000000"/>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bidi/>
        <w:spacing w:after="0" w:before="0" w:line="480" w:lineRule="auto"/>
        <w:jc w:val="both"/>
      </w:pPr>
      <w:r>
        <w:rPr>
          <w:rFonts w:ascii="Times New Roman" w:cs="David" w:eastAsia="David" w:hAnsi="Times New Roman"/>
          <w:b w:val="false"/>
          <w:color w:val="000000"/>
          <w:sz w:val="24"/>
          <w:szCs w:val="24"/>
          <w:rtl/>
        </w:rPr>
        <w:t xml:space="preserve">שפירא וארם (2016) העריכו את הכישורים הללו בהערכה ישירה של הילדים עצמם, להבדיל מדיווחי הורים או גננות שרווחו במחקרים קודמים, ומצאו קשרים בין רכיבי הידע הרגשי, זיהוי רגשות והבנת הסיבות להם, לבין הכישורים החברתיים. ממצא זה מחדד מדוע זירת המשחק של ההפסקה היא גם זירת התנסות רגשית: הילד נדרש בה לקרוא את רגשות חבריו בזמן אמת, ללא תיווך מבוגר. גם בתצפיות באנגליה נמצאו הבדלי מגדר ברפרטואר המשחקים ובגודלן של הרשתות החברתיות של בנים ושל בנות (Blatchford et al., 2003).</w:t>
      </w:r>
    </w:p>
    <w:p>
      <w:pPr>
        <w:bidi/>
        <w:spacing w:after="0" w:before="0" w:line="480" w:lineRule="auto"/>
        <w:jc w:val="both"/>
      </w:pPr>
      <w:r>
        <w:rPr>
          <w:rFonts w:ascii="Times New Roman" w:cs="David" w:eastAsia="David" w:hAnsi="Times New Roman"/>
          <w:b w:val="false"/>
          <w:color w:val="000000"/>
          <w:sz w:val="24"/>
          <w:szCs w:val="24"/>
          <w:rtl/>
        </w:rPr>
        <w:t xml:space="preserve">התצפיות ארוכות הטווח בחצרות האנגליות מוסיפות לתמונה ממד דינמי: רפרטואר משחקי החצר אינו קבוע אלא משתנה במהלך השנה, משחקי הכדור מתרחבים, משחקי המרדף מצטמצמים, והרכב הקבוצות המשחקות נעשה מעורב ומגוון יותר ככל שהילדים מכירים זה את זה (Blatchford et al., 2003). לסיכום תת פרק זה: המשחק החופשי בהפסקה הוא זירת התפתחות חברתית פעילה, שבה נבנים ומתוחזקים קשרים, כללים ומעמדות, וכל זאת בניהולם העצמאי של הילדים. השאלה שנותרת פתוחה היא מה תפקידו של המרחב הפיזי בזירה זו, ולה מוקדשים תת הפרקים הבאים.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2.4 תיאוריית ההזדמנויות: הסביבה כמזמנת פעולה</w:t>
      </w:r>
    </w:p>
    <w:p>
      <w:pPr>
        <w:bidi/>
        <w:spacing w:after="0" w:before="0" w:line="480" w:lineRule="auto"/>
        <w:jc w:val="both"/>
      </w:pPr>
      <w:r>
        <w:rPr>
          <w:rFonts w:ascii="Times New Roman" w:cs="David" w:eastAsia="David" w:hAnsi="Times New Roman"/>
          <w:b w:val="false"/>
          <w:color w:val="000000"/>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color w:val="000000"/>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bidi/>
        <w:spacing w:after="0" w:before="0" w:line="480" w:lineRule="auto"/>
        <w:jc w:val="both"/>
      </w:pPr>
      <w:r>
        <w:rPr>
          <w:rFonts w:ascii="Times New Roman" w:cs="David" w:eastAsia="David" w:hAnsi="Times New Roman"/>
          <w:b w:val="false"/>
          <w:color w:val="000000"/>
          <w:sz w:val="24"/>
          <w:szCs w:val="24"/>
          <w:rtl/>
        </w:rPr>
        <w:t xml:space="preserve">חידושה של התיאוריה טמון באופייה היחסי: ההזדמנות איננה תכונה של הסביבה לבדה ואף לא של האדם לבדו, אלא של המפגש ביניהם. אותו ספסל מזמן לילד אחד טיפוס ולילד עייף ישיבה, ואותה גדר היא לאחד גבול ולאחר נקודת תצפית (J. J. Gibson, 1979). ברוח זו ביקש המחקר ההולנדי לזהות אילו מאפיינים של החצר תומכים בהשתתפות חברתית ואילו מכשילים אותה, מתוך הנחה שהמרחב יכול להרחיב או לצמצם את מעגל המשתתפים במשחק (Nasri et al., 2022).</w:t>
      </w:r>
    </w:p>
    <w:p>
      <w:pPr>
        <w:bidi/>
        <w:spacing w:after="0" w:before="0" w:line="480" w:lineRule="auto"/>
        <w:jc w:val="both"/>
      </w:pPr>
      <w:r>
        <w:rPr>
          <w:rFonts w:ascii="Times New Roman" w:cs="David" w:eastAsia="David" w:hAnsi="Times New Roman"/>
          <w:b w:val="false"/>
          <w:color w:val="000000"/>
          <w:sz w:val="24"/>
          <w:szCs w:val="24"/>
          <w:rtl/>
        </w:rPr>
        <w:t xml:space="preserve">קיטה אף הציעה את מספר ההזדמנויות שילדים מממשים בפועל, להבדיל מאלה הקיימות בכוח, כאחד משני הקריטריונים המרכזיים לסביבה ידידותית לילדים, לצד חופש התנועה העצמאית שלהם בה (Kyttä, 2004). ההבחנה בין הזדמנות קיימת להזדמנות ממומשת חשובה במיוחד לעבודה הנוכחית: תצפית היא בדיוק הכלי המאפשר לראות אילו הזדמנויות ממומשות בפועל ובאילו דרכים. לסיכום תת פרק זה: תיאוריית ההזדמנויות מספקת למחקר את משקפיו, בהפנותה את המבט מן האלמנט עצמו אל מה שהילדים עושים בו ובאמצעותו.</w:t>
      </w:r>
    </w:p>
    <w:p>
      <w:pPr>
        <w:pStyle w:val="Heading2"/>
        <w:bidi/>
        <w:spacing w:after="0" w:before="120" w:line="480" w:lineRule="auto"/>
        <w:jc w:val="start"/>
      </w:pPr>
      <w:r>
        <w:rPr>
          <w:rFonts w:ascii="Times New Roman" w:cs="David" w:eastAsia="David" w:hAnsi="Times New Roman"/>
          <w:b/>
          <w:bCs/>
          <w:color w:val="000000"/>
          <w:sz w:val="26"/>
          <w:szCs w:val="26"/>
          <w:rtl/>
        </w:rPr>
        <w:t xml:space="preserve">2.5 אלמנטים פיזיים וטבעיים בחצר</w:t>
      </w:r>
    </w:p>
    <w:p>
      <w:pPr>
        <w:bidi/>
        <w:spacing w:after="0" w:before="0" w:line="480" w:lineRule="auto"/>
        <w:jc w:val="both"/>
      </w:pPr>
      <w:r>
        <w:rPr>
          <w:rFonts w:ascii="Times New Roman" w:cs="David" w:eastAsia="David" w:hAnsi="Times New Roman"/>
          <w:b w:val="false"/>
          <w:color w:val="000000"/>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 עדות סיבתית עדכנית מגיעה ממחקר התערבות מבוקר שעקב במשך שנתיים אחר הוספת ירק וגיוון ביולוגי בחצרות בתי ספר יסודיים בבלגיה ובהולנד: בקרב 169 ילדים בני 7 עד 12 נמצא שיפור עקבי בהתנהגות הפרו-חברתית בעקבות ההתערבות (Verheyen et al., 2025).</w:t>
      </w:r>
    </w:p>
    <w:p>
      <w:pPr>
        <w:bidi/>
        <w:spacing w:after="0" w:before="0" w:line="480" w:lineRule="auto"/>
        <w:jc w:val="both"/>
      </w:pPr>
      <w:r>
        <w:rPr>
          <w:rFonts w:ascii="Times New Roman" w:cs="David" w:eastAsia="David" w:hAnsi="Times New Roman"/>
          <w:b w:val="false"/>
          <w:color w:val="000000"/>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מחקר תצפיתי עדכני שצילם ילדי בית ספר יסודי במשחק חופשי בחצר הראה כיצד סוגים שונים של חלקים פתוחים מעצבים את משך המשחק, את תדירותו ואת הרכב הקבוצות המשחקות (Pereira et al., 2023).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bidi/>
        <w:spacing w:after="0" w:before="0" w:line="480" w:lineRule="auto"/>
        <w:jc w:val="both"/>
      </w:pPr>
      <w:r>
        <w:rPr>
          <w:rFonts w:ascii="Times New Roman" w:cs="David" w:eastAsia="David" w:hAnsi="Times New Roman"/>
          <w:b w:val="false"/>
          <w:color w:val="000000"/>
          <w:sz w:val="24"/>
          <w:szCs w:val="24"/>
          <w:rtl/>
        </w:rPr>
        <w:t xml:space="preserve">ממצאי המחקרים הללו מתכנסים לכמה מאפיינים מועילים של החצר. בחצרות העירוניות נמצא שדווקא אזורים המספקים הפרדה פיזית, צל של עצים ואתגרי טיפוס ושיווי משקל קידמו בו זמנית פעילות גופנית ואינטראקציה פרו-חברתית, ואילו חצרות בעלות מעט אזורים וללא ירק התאפיינו בשיעורים גבוהים של ישיבה בטלה (Raney et al., 2023). בתחום החלקים הפתוחים נמצא שסוגי חומרים שונים נבדלים זה מזה במשך השימוש בהם, בתדירותו ובמידת השיתופיות שהוא מזמן (Pereira et al., 2023). הסקירה השיטתית בתחום, אף שמצאה עדויות מבטיחות, הדגישה את מיעוט המחקר התצפיתי האיכותי וקראה במפורש לפיתוח כלים תצפיתיים טובים יותר (J. L. Gibson et al., 2017), קריאה שהמחקר הנוכחי נענה לה בדרכו.</w:t>
      </w:r>
    </w:p>
    <w:p>
      <w:pPr>
        <w:bidi/>
        <w:spacing w:after="0" w:before="0" w:line="480" w:lineRule="auto"/>
        <w:jc w:val="both"/>
      </w:pPr>
      <w:r>
        <w:rPr>
          <w:rFonts w:ascii="Times New Roman" w:cs="David" w:eastAsia="David" w:hAnsi="Times New Roman"/>
          <w:b w:val="false"/>
          <w:color w:val="000000"/>
          <w:sz w:val="24"/>
          <w:szCs w:val="24"/>
          <w:rtl/>
        </w:rPr>
        <w:t xml:space="preserve">לסיכום תת פרק זה, שני זרמי המחקר משלימים זה את זה: האלמנטים הקבועים, הצמחייה, הצל והריהוט, מרחיבים את טווח הפעילויות ואת איכותן, ואילו החומרים הפתוחים מוסיפים ממד של יצירה ושל שליטה, שבו הילד אינו רק משתמש במרחב אלא בונה אותו. משני הזרמים גם יחד עולה מסקנה תכנונית אחת: חצר עשירה ומגוונת מזמנת התפתחות עשירה ומגוונת.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2.6 אינטראקציה חברתית, קונפליקט ומשא ומתן בהפסקה</w:t>
      </w:r>
    </w:p>
    <w:p>
      <w:pPr>
        <w:bidi/>
        <w:spacing w:after="0" w:before="0" w:line="480" w:lineRule="auto"/>
        <w:jc w:val="both"/>
      </w:pPr>
      <w:r>
        <w:rPr>
          <w:rFonts w:ascii="Times New Roman" w:cs="David" w:eastAsia="David" w:hAnsi="Times New Roman"/>
          <w:b w:val="false"/>
          <w:color w:val="000000"/>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 כאשר שואלים את הילדים עצמם, עולה תמונה דומה: בראיונות מהלך שנערכו עם 56 ילדים בתוך חצרות בתי הספר שלהם תיארו הילדים צורך כפול, באפשרויות משחק מגוונות ומאתגרות מצד אחד ובפינות שקטות שאפשר לסגת אליהן ולשהות בהן עם חברים מצד אחר (Amholt et al., 2022).</w:t>
      </w:r>
    </w:p>
    <w:p>
      <w:pPr>
        <w:bidi/>
        <w:spacing w:after="0" w:before="0" w:line="480" w:lineRule="auto"/>
        <w:jc w:val="both"/>
      </w:pPr>
      <w:r>
        <w:rPr>
          <w:rFonts w:ascii="Times New Roman" w:cs="David" w:eastAsia="David" w:hAnsi="Times New Roman"/>
          <w:b w:val="false"/>
          <w:color w:val="000000"/>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color w:val="000000"/>
          <w:sz w:val="24"/>
          <w:szCs w:val="24"/>
          <w:rtl/>
        </w:rPr>
        <w:t xml:space="preserve">תמונת הידע בתחום זה עודנה חלקית. סקירת ההיקף של התערבויות החצר מנתה 13 מחקרים בלבד שבחנו תוצאות חברתיות, רגשיות וקוגניטיביות, והם נשענו על 18 כלי מדידה שונים, פיזור המקשה על הצטברות ידע עקבי (Lousen et al., 2025). דווקא פיזור מתודולוגי זה מחזק את מקומם של מחקרים איכותניים קטני היקף, המתעדים מקרוב את המנגנונים שבאמצעותם המרחב פועל על ההתרחשות החברתית.</w:t>
      </w:r>
    </w:p>
    <w:p>
      <w:pPr>
        <w:bidi/>
        <w:spacing w:after="0" w:before="0" w:line="480" w:lineRule="auto"/>
        <w:jc w:val="both"/>
      </w:pPr>
      <w:r>
        <w:rPr>
          <w:rFonts w:ascii="Times New Roman" w:cs="David" w:eastAsia="David" w:hAnsi="Times New Roman"/>
          <w:b w:val="false"/>
          <w:color w:val="000000"/>
          <w:sz w:val="24"/>
          <w:szCs w:val="24"/>
          <w:rtl/>
        </w:rPr>
        <w:t xml:space="preserve">מסגרת מועילה להבנת הצרכים שהחצר נדרשת לספק מציעה תיאוריית ההכוונה העצמית, שבאמצעותה ניתחו אמהולט ועמיתיה (Amholt et al., 2022) את ראיונות הילדים: חצר טובה נותנת מענה לשלושה צרכים פסיכולוגיים, אוטונומיה בבחירת הפעילות, תחושת מסוגלות מול אתגרים מדורגים, וקשר ושייכות לקבוצת השווים. לסיכום תת פרק זה: האינטראקציה החברתית בהפסקה אינה מתרחשת ליד האלמנטים הפיזיים אלא דרכם, שכן הם הבמה, הם האמצעי ולעיתים הם גם עילת המפגש או המחלוקת.</w:t>
      </w:r>
    </w:p>
    <w:p>
      <w:pPr>
        <w:bidi/>
        <w:spacing w:after="0" w:before="0" w:line="480" w:lineRule="auto"/>
        <w:jc w:val="both"/>
      </w:pPr>
      <w:r>
        <w:rPr>
          <w:rFonts w:ascii="Times New Roman" w:cs="David" w:eastAsia="David" w:hAnsi="Times New Roman"/>
          <w:b w:val="false"/>
          <w:color w:val="000000"/>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3. שיטת המחקר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3.1 הגישה המחקרית</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שקדי (2003) מונה כמה מאפיינים מרכזיים של מחקר מסוג זה: החוקר הוא כלי המחקר המרכזי, הנתונים נאספים בסביבה הטבעית של המשתתפים, התיאור שואף להיות עשיר ומפורט, וההמשגה נבנית מן הנתונים בתהליך אינדוקטיבי. מאחר שמטרת המחקר הנוכחי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3.2 סוגת המחקר</w:t>
      </w:r>
    </w:p>
    <w:p>
      <w:pPr>
        <w:bidi/>
        <w:spacing w:after="0" w:before="0" w:line="480" w:lineRule="auto"/>
        <w:jc w:val="both"/>
      </w:pPr>
      <w:r>
        <w:rPr>
          <w:rFonts w:ascii="Times New Roman" w:cs="David" w:eastAsia="David" w:hAnsi="Times New Roman"/>
          <w:b w:val="false"/>
          <w:color w:val="000000"/>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color w:val="000000"/>
          <w:sz w:val="26"/>
          <w:szCs w:val="26"/>
          <w:rtl/>
        </w:rPr>
        <w:t xml:space="preserve">3.3 שדה המחקר והמשתתפים</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3.4 כלי המחקר</w:t>
      </w:r>
    </w:p>
    <w:p>
      <w:pPr>
        <w:bidi/>
        <w:spacing w:after="0" w:before="0" w:line="480" w:lineRule="auto"/>
        <w:jc w:val="both"/>
      </w:pPr>
      <w:r>
        <w:rPr>
          <w:rFonts w:ascii="Times New Roman" w:cs="David" w:eastAsia="David" w:hAnsi="Times New Roman"/>
          <w:b w:val="false"/>
          <w:color w:val="000000"/>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color w:val="000000"/>
          <w:sz w:val="26"/>
          <w:szCs w:val="26"/>
          <w:rtl/>
        </w:rPr>
        <w:t xml:space="preserve">3.5 הליך המחקר</w:t>
      </w:r>
    </w:p>
    <w:p>
      <w:pPr>
        <w:bidi/>
        <w:spacing w:after="0" w:before="0" w:line="480" w:lineRule="auto"/>
        <w:jc w:val="both"/>
      </w:pPr>
      <w:r>
        <w:rPr>
          <w:rFonts w:ascii="Times New Roman" w:cs="David" w:eastAsia="David" w:hAnsi="Times New Roman"/>
          <w:b w:val="false"/>
          <w:color w:val="000000"/>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color w:val="000000"/>
          <w:sz w:val="26"/>
          <w:szCs w:val="26"/>
          <w:rtl/>
        </w:rPr>
        <w:t xml:space="preserve">3.6 ניתוח הנתונים</w:t>
      </w:r>
    </w:p>
    <w:p>
      <w:pPr>
        <w:bidi/>
        <w:spacing w:after="0" w:before="0" w:line="480" w:lineRule="auto"/>
        <w:jc w:val="both"/>
      </w:pPr>
      <w:r>
        <w:rPr>
          <w:rFonts w:ascii="Times New Roman" w:cs="David" w:eastAsia="David" w:hAnsi="Times New Roman"/>
          <w:b w:val="false"/>
          <w:color w:val="000000"/>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 מבנה פרקי הממצאים והדיון בעבודה גובש על פי המתכונת המקובלת במחקר האיכותני בחינוך, שבה הממצאים מאורגנים על פי תמות והדיון בוחן אותם מול הספרות המחקרית, כפי שמדגים מחקרה של רייכל (2015) על דיוקן מנהל בית הספר הרצוי בעיני סגלי הוראה.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3.7 אתיקה במחקר</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4. ממצאים</w:t>
      </w:r>
    </w:p>
    <w:p>
      <w:pPr>
        <w:bidi/>
        <w:spacing w:after="0" w:before="0" w:line="480" w:lineRule="auto"/>
        <w:jc w:val="both"/>
      </w:pPr>
      <w:r>
        <w:rPr>
          <w:rFonts w:ascii="Times New Roman" w:cs="David" w:eastAsia="David" w:hAnsi="Times New Roman"/>
          <w:b w:val="false"/>
          <w:color w:val="000000"/>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color w:val="000000"/>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4.1 תמה 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color w:val="000000"/>
          <w:sz w:val="24"/>
          <w:szCs w:val="24"/>
          <w:rtl/>
        </w:rPr>
        <w:t xml:space="preserve">4.1.1 קטגוריה 1: משחקי מרדף ותופסת</w:t>
      </w:r>
    </w:p>
    <w:p>
      <w:pPr>
        <w:bidi/>
        <w:spacing w:after="0" w:before="0" w:line="480" w:lineRule="auto"/>
        <w:jc w:val="both"/>
      </w:pPr>
      <w:r>
        <w:rPr>
          <w:rFonts w:ascii="Times New Roman" w:cs="David" w:eastAsia="David" w:hAnsi="Times New Roman"/>
          <w:b w:val="false"/>
          <w:color w:val="000000"/>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color w:val="000000"/>
          <w:sz w:val="24"/>
          <w:szCs w:val="24"/>
          <w:rtl/>
        </w:rPr>
        <w:t xml:space="preserve">4.1.2 קטגוריה 2: הדשא והמרחב הפתוח כמרחבים לתנועה</w:t>
      </w:r>
    </w:p>
    <w:p>
      <w:pPr>
        <w:bidi/>
        <w:spacing w:after="0" w:before="0" w:line="480" w:lineRule="auto"/>
        <w:jc w:val="both"/>
      </w:pPr>
      <w:r>
        <w:rPr>
          <w:rFonts w:ascii="Times New Roman" w:cs="David" w:eastAsia="David" w:hAnsi="Times New Roman"/>
          <w:b w:val="false"/>
          <w:color w:val="000000"/>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color w:val="000000"/>
          <w:sz w:val="24"/>
          <w:szCs w:val="24"/>
          <w:rtl/>
        </w:rPr>
        <w:t xml:space="preserve">4.1.3 קטגוריה 3: מעבר בין אזורי החצר בהתאם לאופי הפעילות</w:t>
      </w:r>
    </w:p>
    <w:p>
      <w:pPr>
        <w:bidi/>
        <w:spacing w:after="0" w:before="0" w:line="480" w:lineRule="auto"/>
        <w:jc w:val="both"/>
      </w:pPr>
      <w:r>
        <w:rPr>
          <w:rFonts w:ascii="Times New Roman" w:cs="David" w:eastAsia="David" w:hAnsi="Times New Roman"/>
          <w:b w:val="false"/>
          <w:color w:val="000000"/>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0" w:line="480" w:lineRule="auto"/>
        <w:jc w:val="both"/>
      </w:pPr>
      <w:r>
        <w:rPr>
          <w:rFonts w:ascii="Times New Roman" w:cs="David" w:eastAsia="David" w:hAnsi="Times New Roman"/>
          <w:b w:val="false"/>
          <w:color w:val="000000"/>
          <w:sz w:val="24"/>
          <w:szCs w:val="24"/>
          <w:rtl/>
        </w:rPr>
        <w:t xml:space="preserve">הדינמיקה של תצפית 1 ממחישה את הדפוס במלואו. המשחק נפתח בהחלטה משותפת ליד אחד העצים, התנהל בקריאות שהגדירו את המרחב, ״הוא מאחורי העץ״, ״אל תעבור את השביל״, ״תברח לדשא״, וצירף אליו תוך כדי תנועה שני תלמידים נוספים. כעבור כעשר דקות ירד הקצב, אחת התלמידות אמרה ״חם לי, בואו נשב קצת״, והקבוצה כולה עברה יחד אל שולחן העץ המוצל. רצף זה מלמד שהמעבר מפעילות אינטנסיבית למנוחה אינו פירוק של הקבוצה אלא מעבר מאורגן שלה ממוקד פיזי אחד למשנהו.</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4.2 תמה 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color w:val="000000"/>
          <w:sz w:val="24"/>
          <w:szCs w:val="24"/>
          <w:rtl/>
        </w:rPr>
        <w:t xml:space="preserve">4.2.1 קטגוריה 1: שיחות חברתיות ושיתוף חוויות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color w:val="000000"/>
          <w:sz w:val="24"/>
          <w:szCs w:val="24"/>
          <w:rtl/>
        </w:rPr>
        <w:t xml:space="preserve">4.2.2 קטגוריה 2: יצירת קשרים והצטרפות לפעילות</w:t>
      </w:r>
    </w:p>
    <w:p>
      <w:pPr>
        <w:bidi/>
        <w:spacing w:after="0" w:before="0" w:line="480" w:lineRule="auto"/>
        <w:jc w:val="both"/>
      </w:pPr>
      <w:r>
        <w:rPr>
          <w:rFonts w:ascii="Times New Roman" w:cs="David" w:eastAsia="David" w:hAnsi="Times New Roman"/>
          <w:b w:val="false"/>
          <w:color w:val="000000"/>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color w:val="000000"/>
          <w:sz w:val="24"/>
          <w:szCs w:val="24"/>
          <w:rtl/>
        </w:rPr>
        <w:t xml:space="preserve">4.2.3 קטגוריה 3: מרחבי מנוחה כמוקדי אינטראקציה</w:t>
      </w:r>
    </w:p>
    <w:p>
      <w:pPr>
        <w:bidi/>
        <w:spacing w:after="0" w:before="0" w:line="480" w:lineRule="auto"/>
        <w:jc w:val="both"/>
      </w:pPr>
      <w:r>
        <w:rPr>
          <w:rFonts w:ascii="Times New Roman" w:cs="David" w:eastAsia="David" w:hAnsi="Times New Roman"/>
          <w:b w:val="false"/>
          <w:color w:val="000000"/>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0" w:line="480" w:lineRule="auto"/>
        <w:jc w:val="both"/>
      </w:pPr>
      <w:r>
        <w:rPr>
          <w:rFonts w:ascii="Times New Roman" w:cs="David" w:eastAsia="David" w:hAnsi="Times New Roman"/>
          <w:b w:val="false"/>
          <w:color w:val="000000"/>
          <w:sz w:val="24"/>
          <w:szCs w:val="24"/>
          <w:rtl/>
        </w:rPr>
        <w:t xml:space="preserve">גם דרך הפתיחה של האינטראקציות הללו עלתה מן התצפיות. בתצפית 5 נפתחה השיחה בשאלה ישירה, ״למה את יושבת לבד?״, ולאחריה התיישבו שתי התלמידות לצד חברתן, והמפגש התגלגל מן הספסל אל הליכה משותפת בשביל המרכזי ואל עצירה ליד ערוגת הפרחים. בתצפית 7 השתנה הרכב הקבוצה ליד הגדר במהלך ההפסקה, תלמידים הצטרפו לזמן קצר והמשיכו בדרכם, אך השיחה עצמה נמשכה. נראה שהאלמנט הפיזי מעניק לאינטראקציה יציבות: המשתתפים מתחלפים, והמקום מחזיק את המפגש.</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4.3 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color w:val="000000"/>
          <w:sz w:val="24"/>
          <w:szCs w:val="24"/>
          <w:rtl/>
        </w:rPr>
        <w:t xml:space="preserve">4.3.1 קטגוריה 1: שימוש באלמנטים טבעיים במשחק דמיוני</w:t>
      </w:r>
    </w:p>
    <w:p>
      <w:pPr>
        <w:bidi/>
        <w:spacing w:after="0" w:before="0" w:line="480" w:lineRule="auto"/>
        <w:jc w:val="both"/>
      </w:pPr>
      <w:r>
        <w:rPr>
          <w:rFonts w:ascii="Times New Roman" w:cs="David" w:eastAsia="David" w:hAnsi="Times New Roman"/>
          <w:b w:val="false"/>
          <w:color w:val="000000"/>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color w:val="000000"/>
          <w:sz w:val="24"/>
          <w:szCs w:val="24"/>
          <w:rtl/>
        </w:rPr>
        <w:t xml:space="preserve">4.3.2 קטגוריה 2: שיתוף פעולה וחלוקת תפקידים</w:t>
      </w:r>
    </w:p>
    <w:p>
      <w:pPr>
        <w:bidi/>
        <w:spacing w:after="0" w:before="0" w:line="480" w:lineRule="auto"/>
        <w:jc w:val="both"/>
      </w:pPr>
      <w:r>
        <w:rPr>
          <w:rFonts w:ascii="Times New Roman" w:cs="David" w:eastAsia="David" w:hAnsi="Times New Roman"/>
          <w:b w:val="false"/>
          <w:color w:val="000000"/>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color w:val="000000"/>
          <w:sz w:val="24"/>
          <w:szCs w:val="24"/>
          <w:rtl/>
        </w:rPr>
        <w:t xml:space="preserve">4.3.3 קטגוריה 3: פתרון בעיות במהלך המשחק</w:t>
      </w:r>
    </w:p>
    <w:p>
      <w:pPr>
        <w:bidi/>
        <w:spacing w:after="0" w:before="0" w:line="480" w:lineRule="auto"/>
        <w:jc w:val="both"/>
      </w:pPr>
      <w:r>
        <w:rPr>
          <w:rFonts w:ascii="Times New Roman" w:cs="David" w:eastAsia="David" w:hAnsi="Times New Roman"/>
          <w:b w:val="false"/>
          <w:color w:val="000000"/>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בשתי התצפיות בלטה גם שאיפה להמשכיות. בתצפית 3 אמר אחד הילדים לפני הצלצול ״מחר נבנה בית יותר גדול״, ובתצפית 6 הכריז תלמיד ״מחר נוסיף עוד בתים״ וחבריו החלו להציע רעיונות להמשך. המבנים שנבנו מענפים ומאבנים לא היו בעיני הילדים תוצר חד פעמי אלא פרויקט מתמשך, המקנה למשחק היצירתי אופק של תכנון ושל ציפייה.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4.4 תמה 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color w:val="000000"/>
          <w:sz w:val="24"/>
          <w:szCs w:val="24"/>
          <w:rtl/>
        </w:rPr>
        <w:t xml:space="preserve">4.4.1 קטגוריה 1: קונפליקטים סביב שימוש במרחב</w:t>
      </w:r>
    </w:p>
    <w:p>
      <w:pPr>
        <w:bidi/>
        <w:spacing w:after="0" w:before="0" w:line="480" w:lineRule="auto"/>
        <w:jc w:val="both"/>
      </w:pPr>
      <w:r>
        <w:rPr>
          <w:rFonts w:ascii="Times New Roman" w:cs="David" w:eastAsia="David" w:hAnsi="Times New Roman"/>
          <w:b w:val="false"/>
          <w:color w:val="000000"/>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color w:val="000000"/>
          <w:sz w:val="24"/>
          <w:szCs w:val="24"/>
          <w:rtl/>
        </w:rPr>
        <w:t xml:space="preserve">4.4.2 קטגוריה 2: משא ומתן ופשרה</w:t>
      </w:r>
    </w:p>
    <w:p>
      <w:pPr>
        <w:bidi/>
        <w:spacing w:after="0" w:before="0" w:line="480" w:lineRule="auto"/>
        <w:jc w:val="both"/>
      </w:pPr>
      <w:r>
        <w:rPr>
          <w:rFonts w:ascii="Times New Roman" w:cs="David" w:eastAsia="David" w:hAnsi="Times New Roman"/>
          <w:b w:val="false"/>
          <w:color w:val="000000"/>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color w:val="000000"/>
          <w:sz w:val="24"/>
          <w:szCs w:val="24"/>
          <w:rtl/>
        </w:rPr>
        <w:t xml:space="preserve">4.4.3 קטגוריה 3: תמיכה הדדית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מהלך הקונפליקט בתצפית 2 מדגים את התהליך על כל שלביו: טענות מנומקות, ״זה המקום שלי, אני יושב כאן כל יום״ מול ״אבל אני הגעתי קודם״, הסלמה קצרה בדחיפת כתף, מעורבות ראשונה של הסביבה בדברי תלמידה, ״יש מקום לשניכם״, ולבסוף הצעת פשרה של תלמיד שלישי שהתקבלה על שני הצדדים. לאחר הפתרון אף נשארו שני התלמידים לשבת יחד ושוחחו על משחק שהתקיים בחצר: הקונפליקט לא הותיר נתק אלא הסתיים בקרבה.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bidi/>
        <w:spacing w:after="0" w:before="0" w:line="480" w:lineRule="auto"/>
        <w:jc w:val="both"/>
      </w:pPr>
      <w:r>
        <w:rPr>
          <w:rFonts w:ascii="Times New Roman" w:cs="David" w:eastAsia="David" w:hAnsi="Times New Roman"/>
          <w:b w:val="false"/>
          <w:color w:val="000000"/>
          <w:sz w:val="24"/>
          <w:szCs w:val="24"/>
          <w:rtl/>
        </w:rPr>
        <w:t xml:space="preserve">במבט כולל, ארבע התמות משרטטות חצר שהיא הרבה יותר מרקע לפעילות. אותם אלמנטים עצמם שימשו בתצפיות שונות, ולעיתים באותה הפסקה עצמה, מגרש משחקים, מקום מפגש, חומר גלם ליצירה ומושא למחלוקת, והתלמידים עברו בין השימושים הללו בטבעיות וללא הכוונת מבוגר. משמעותם של דפוסים אלה נדונה בפרק הבא.</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5. דיון</w:t>
      </w:r>
    </w:p>
    <w:p>
      <w:pPr>
        <w:bidi/>
        <w:spacing w:after="0" w:before="0" w:line="480" w:lineRule="auto"/>
        <w:jc w:val="both"/>
      </w:pPr>
      <w:r>
        <w:rPr>
          <w:rFonts w:ascii="Times New Roman" w:cs="David" w:eastAsia="David" w:hAnsi="Times New Roman"/>
          <w:b w:val="false"/>
          <w:color w:val="000000"/>
          <w:sz w:val="24"/>
          <w:szCs w:val="24"/>
          <w:rtl/>
        </w:rPr>
        <w:t xml:space="preserve">מטרתו של פרק זה למקם את ממצאי המחקר בתוך הידע הקיים ולהשיב על שאלת המחקר: כיצד משמשים האלמנטים הפיזיים בחצר את תלמידי כיתה ב' בהפסקה, ואילו תפקידים הם ממלאים בארגון המשחק, ביצירת קשרים ובניהול קונפליקטים. ארבע התמות שעלו מן הניתוח אינן עומדות זו לצד זו כממצאים נפרדים; הן מצטרפות לתמונה אחת, שבה אותם אלמנטים עצמם, עץ, דשא, שביל, ספסל, שולחן וגדר, מחליפים תפקידים במהלך הפסקה אחת ויחידה, והתלמידים נעים ביניהם בגמישות בהתאם לצורכי הפעילות והרגע החברתי.</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התמונה הזו היא הממצא שהאלמנטים הפיזיים מארגנים את המשחק התנועתי: העצים שימשו מסתור, הדשא שימש מרחב ריצה והשביל הוגדר גבול. ממצא זה תומך בספרות המלמדת שמבנה החצר מעצב את היקף הפעילות ואת סוגה (Lemberg et al., 2023; Schipperijn et al., 2024) ומתיישב עם תיאוריית ההזדמנויות, שלפיה ילדים קוראים את המרחב דרך מה שאפשר לעשות בו (J. J. Gibson, 1979; Kyttä, 2004). ואולם התצפיות מוסיפות לתיאוריה נדבך: בעוד שמחקרי ההזדמנויות מתארים בעיקר את הפעולה שהאלמנט מזמן, כאן נראה שהתלמידים הופכים את האלמנט לכלל חברתי מוסכם, כדוגמת ההחלטה שאין לחצות את השביל. האלמנט הפיזי אינו רק מזמן פעולה; הוא מגויס לחוקת המשחק, וההזדמנות הפיזית הופכת להסכם חברתי.</w:t>
      </w:r>
    </w:p>
    <w:p>
      <w:pPr>
        <w:bidi/>
        <w:spacing w:after="0" w:before="0" w:line="480" w:lineRule="auto"/>
        <w:jc w:val="both"/>
      </w:pPr>
      <w:r>
        <w:rPr>
          <w:rFonts w:ascii="Times New Roman" w:cs="David" w:eastAsia="David" w:hAnsi="Times New Roman"/>
          <w:b w:val="false"/>
          <w:color w:val="000000"/>
          <w:sz w:val="24"/>
          <w:szCs w:val="24"/>
          <w:rtl/>
        </w:rPr>
        <w:t xml:space="preserve">כל זה התרחש בחצר שאין בה מתקנים יוצאי דופן: עצים, דשא, שביל, ספסלים, שולחנות וגדר. מחקרים שמיפו חצרות בתי ספר מצאו שרבות מהן שטוחות, דלות בצמחייה ונשלטות בידי מגרשי ספורט (Rutkauskaite et al., 2021), ובמונחיה של קיטה אפשר לומר שהתצפיות תיעדו מימוש עשיר במיוחד של מלאי הזדמנויות צנוע (Kyttä, 2004). מכאן שהשאלה התכנונית המרכזית אינה בהכרח כמה מתקנים יש בחצר אלא כמה סוגי שימוש היא מאפשרת: מעט אלמנטים מסוגים שונים, מוצלים, פתוחים, מוגבהים ומתוחמים, הספיקו לתלמידים כדי לקיים בהם עולם חברתי שלם.</w:t>
      </w:r>
    </w:p>
    <w:p>
      <w:pPr>
        <w:bidi/>
        <w:spacing w:after="0" w:before="0" w:line="480" w:lineRule="auto"/>
        <w:jc w:val="both"/>
      </w:pPr>
      <w:r>
        <w:rPr>
          <w:rFonts w:ascii="Times New Roman" w:cs="David" w:eastAsia="David" w:hAnsi="Times New Roman"/>
          <w:b w:val="false"/>
          <w:color w:val="000000"/>
          <w:sz w:val="24"/>
          <w:szCs w:val="24"/>
          <w:rtl/>
        </w:rPr>
        <w:t xml:space="preserve">המהלך הזה, שבו הפיזי נטען במשמעות חברתית, נמשך אל מעבר למשחק התנועתי. אותם אלמנטים בדיוק שימשו גם מוקדי מפגש ושיחה: הספסל שבצל הפך נקודת התכנסות, שולחן העץ ריכז סביבו את הקבוצה לאחר המשחק, והגדר זימנה התבוננות משותפת ושיחה. הדבר עולה בקנה אחד עם הממצאים שלפיהם אזורים מסוימים בחצר מתפקדים כמוקדי התקבצות חברתית (Nasri et al., 2022), שאינטראקציות פרו-חברתיות מעוגנות באזורי ישיבה וצל (Hazlehurst et al., 2023; Raney et al., 2023) ושילדים עצמם מדווחים על צורך בפינות שקטות לשהייה עם חברים לצד אזורי המשחק הפעיל (Amholt et al., 2022). מה שהתצפיות מוסיפות לתמונה הכמותית הזו הוא תיאור מיקרו של התהליך: כיצד תלמידה היושבת לבדה על ספסל הופכת למוקד מפגש, וכיצד קבוצה בונה מפנה מקום לילדה מצטרפת ומסבירה לה את כללי המשחק. תהליכי הצטרפות שתועדו בספרות בעיקר בגיל הגן (יריב ואחרים, 2022) נצפו כאן מתרחשים באופן עצמאי, ללא תיווך מבוגר, סביב אלמנטים פיזיים בחצר. בכך מקבל אישוש תצפיתי תיאורן המוקדם של זבה וצ'רצ'מן (1988) את החצר כ"כיכר העיר" של הילדים: הזירה היומיומית שבה נפגשים, משוחחים ומייצבים מעמד חברתי.</w:t>
      </w:r>
    </w:p>
    <w:p>
      <w:pPr>
        <w:bidi/>
        <w:spacing w:after="0" w:before="0" w:line="480" w:lineRule="auto"/>
        <w:jc w:val="both"/>
      </w:pPr>
      <w:r>
        <w:rPr>
          <w:rFonts w:ascii="Times New Roman" w:cs="David" w:eastAsia="David" w:hAnsi="Times New Roman"/>
          <w:b w:val="false"/>
          <w:color w:val="000000"/>
          <w:sz w:val="24"/>
          <w:szCs w:val="24"/>
          <w:rtl/>
        </w:rPr>
        <w:t xml:space="preserve">אותה תנועה מן הפיזי אל החברתי מסבירה גם את המשחק היצירתי שנצפה. הענפים, העלים והאבנים, חומרים ללא ייעוד קבוע, שימשו בסיס לבניית "בית" ו"עיר קטנה" תוך חלוקת תפקידים, ובכך תומכים הממצאים במחקרי החלקים הפתוחים, המצביעים על תרומת חומרים כאלה להתפתחות קוגניטיבית, חברתית ורגשית (Flannigan &amp; Dietze, 2017; J. L. Gibson et al., 2017) ועל האופן שבו סוג החומר מעצב את הרכב הקבוצה ואת משך המשחק (Pereira et al., 2023). התהליך שנצפה כאן, שבו הילדים מכוננים בשיחתם משמעויות משותפות לחפצים, מקביל לזה שתועד בניתוח שיח של ילדי גן המשחקים בחפצים נטולי זהות משחקית (קוטליצקי, 2016). התוספת של המחקר הנוכחי היא בתיעוד הרצף השלם של אירוע אחד: יוזמה, איסוף חומרים, חלוקת עבודה, קריסת המבנה, ניסיון מחודש ולבסוף משחק תפקידים בתוך התוצר. הרצף ממחיש שהערך ההתפתחותי אינו טמון בחומר עצמו אלא בתהליך החברתי שהוא מזמן, מסקנה המתחזקת לנוכח העדות הניסויית שהעשרת חצרות באלמנטים טבעיים משפרת התנהגות פרו-חברתית לאורך זמן (Verheyen et al., 2025).</w:t>
      </w:r>
    </w:p>
    <w:p>
      <w:pPr>
        <w:bidi/>
        <w:spacing w:after="0" w:before="0" w:line="480" w:lineRule="auto"/>
        <w:jc w:val="both"/>
      </w:pPr>
      <w:r>
        <w:rPr>
          <w:rFonts w:ascii="Times New Roman" w:cs="David" w:eastAsia="David" w:hAnsi="Times New Roman"/>
          <w:b w:val="false"/>
          <w:color w:val="000000"/>
          <w:sz w:val="24"/>
          <w:szCs w:val="24"/>
          <w:rtl/>
        </w:rPr>
        <w:t xml:space="preserve">ואולם אותו מנגנון עצמו, שבו האלמנט הפיזי נטען במשמעות חברתית, פועל גם בכיוון ההפוך: כאשר המשאב מוגבל, הוא הופך מושא למחלוקת. הוויכוח על מקום הישיבה על הספסל הסלים עד דחיפה קלה, ונפתר רק בהצעת פשרה של תלמיד שלישי. הספרות מתעדת קונפליקטים על שטח כחסם מרכזי לפעילות בהפסקה (Pawlowski et al., 2014), אך המחקר הנוכחי מציג תמונה שונה במקצת, ואפשר לראות בה חידוש על דרך הניגוד: הקונפליקט לא נותר חסם אלא הפך זירת למידה חברתית, שבה אותו אלמנט שעורר את המחלוקת שימש גם אמצעי לפתרונה, באמצעות חלוקת המרחב בין הצדדים. נראה אפוא שבתנאים מסוימים, ובהם נוכחות עמיתים מתווכים, דווקא המשאב הפיזי המוגבל מזמן התנסות במשא ומתן ובפשרה. להבנה זו השלכה מעשית: מערכת החינוך משקיעה כיום מאמץ מכוון בפיתוח כשירות חברתית ורגשית של תלמידים, בהובלת הצוותים והיועצות ובשיתוף ההורים, הרואים בכך תחום פעילות חשוב של בית הספר (חן, 2025; כורם, 2022). התצפיות מלמדות שההפסקה בחצר היא זירה טבעית שבה כשירות זו נבנית מאליה, ומי שמבקש לטפח אותה יכול להתחיל בעיצוב המרחב שבו היא צומחת.</w:t>
      </w:r>
    </w:p>
    <w:p>
      <w:pPr>
        <w:bidi/>
        <w:spacing w:after="0" w:before="0" w:line="480" w:lineRule="auto"/>
        <w:jc w:val="both"/>
      </w:pPr>
      <w:r>
        <w:rPr>
          <w:rFonts w:ascii="Times New Roman" w:cs="David" w:eastAsia="David" w:hAnsi="Times New Roman"/>
          <w:b w:val="false"/>
          <w:color w:val="000000"/>
          <w:sz w:val="24"/>
          <w:szCs w:val="24"/>
          <w:rtl/>
        </w:rPr>
        <w:t xml:space="preserve">בראייה מקומית, הממצאים מצטרפים למגמה הישראלית המתרחבת של הכרה בערכם החינוכי של מרחבי החוץ, מן הגן ועד בית הספר (גן ואחרים, 2022; מכון ברנקו וייס, 2025; Levy et al., 2025). הלמידה החוץ כיתתית נתפסת עדיין בעיקר כעניין של שיעורים ופעילויות יזומות, אולם התצפיות מזכירות שהמפגש היומיומי והבלתי מתווך ביותר של התלמידים עם מרחב החוץ מתרחש דווקא בהפסקה, ושבו טמון פוטנציאל התפתחותי שאינו דורש תוספת משאבים אלא בעיקר תשומת לב תכנונית.</w:t>
      </w:r>
    </w:p>
    <w:p>
      <w:pPr>
        <w:bidi/>
        <w:spacing w:after="0" w:before="0" w:line="480" w:lineRule="auto"/>
        <w:jc w:val="both"/>
      </w:pPr>
      <w:r>
        <w:rPr>
          <w:rFonts w:ascii="Times New Roman" w:cs="David" w:eastAsia="David" w:hAnsi="Times New Roman"/>
          <w:b w:val="false"/>
          <w:color w:val="000000"/>
          <w:sz w:val="24"/>
          <w:szCs w:val="24"/>
          <w:rtl/>
        </w:rPr>
        <w:t xml:space="preserve">לצד תרומות אלה יש להכיר במגבלות המחקר.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6. סיכום, מסקנות והמלצות</w:t>
      </w:r>
    </w:p>
    <w:p>
      <w:pPr>
        <w:bidi/>
        <w:spacing w:after="0" w:before="0" w:line="480" w:lineRule="auto"/>
        <w:jc w:val="both"/>
      </w:pPr>
      <w:r>
        <w:rPr>
          <w:rFonts w:ascii="Times New Roman" w:cs="David" w:eastAsia="David" w:hAnsi="Times New Roman"/>
          <w:b w:val="false"/>
          <w:color w:val="000000"/>
          <w:sz w:val="24"/>
          <w:szCs w:val="24"/>
          <w:rtl/>
        </w:rPr>
        <w:t xml:space="preserve">העבודה בחנה כיצד משמשים האלמנטים הפיזיים בחצר בית הספר את תלמידי כיתה ב' במהלך ההפסקה. המחקר נערך בגישה איכותנית, בסוגת התיאוריה המעוגנת בשדה, והתבסס על שבע תצפיות טהורות בנות כרבע שעה כל אחת שנערכו בהפסקת הבוקר בחצר של בית ספר יסודי בדרום הארץ. מן הניתוח עלו ארבע תמות: החצר כמרחב למשחק, תנועה ופעילות גופנית; החצר כמרחב ליצירת קשרים חברתיים ולשיחה; האלמנטים הפיזיים כבסיס למשחק יצירתי ולשיתוף פעולה; והחצר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התשובה לשאלת המחקר מורכבת משלוש מסקנות עיקריות. המסקנה הראשונה היא שהאלמנטים הפיזיים אינם רקע לפעילות אלא מארגנים אותה בפועל: העצים, הדשא, השביל, הספסלים, השולחנות והגדר מתפקדים בעת ובעונה אחת ככלי משחק, כגבול מוסכם, כמוקד מפגש, כחומר גלם ליצירה וכמושא למחלוקת, והתלמידים עוברים בין השימושים הללו בגמישות ובלא הכוונת מבוגר. המסקנה השנייה היא שהמעבר מן הפיזי אל החברתי הוא המנגנון המרכזי של ההתרחשות בחצר: הזדמנות פיזית הופכת לכלל משחק, פינה מוצלת הופכת למוקד קרבה, וחומר פשוט הופך לפרויקט קבוצתי. המסקנה השלישית היא שגם קונפליקט סביב משאב פיזי מוגבל יכול לשמש הזדמנות לצמיחה חברתית, כאשר סביבת העמיתים מאפשרת תיווך ופשרה.</w:t>
      </w:r>
    </w:p>
    <w:p>
      <w:pPr>
        <w:bidi/>
        <w:spacing w:after="0" w:before="0" w:line="480" w:lineRule="auto"/>
        <w:jc w:val="both"/>
      </w:pPr>
      <w:r>
        <w:rPr>
          <w:rFonts w:ascii="Times New Roman" w:cs="David" w:eastAsia="David" w:hAnsi="Times New Roman"/>
          <w:b w:val="false"/>
          <w:color w:val="000000"/>
          <w:sz w:val="24"/>
          <w:szCs w:val="24"/>
          <w:rtl/>
        </w:rPr>
        <w:t xml:space="preserve">מן המסקנות נגזרות המלצות יישומיות. ראשית, בתכנון חצרות ובחידושן ראוי לכלול לצד המתקנים גם אלמנטים פתוחים וחומרים טבעיים, ענפים, אבנים ועלים, המזמנים משחק יצירתי ושיתוף פעולה, ולהקפיד על מגוון של סוגי אזורים: פתוחים לריצה, מוצלים למנוחה ומתוחמים למשחק. שנית, מומלץ להציב ריהוט ישיבה באזורים מוצלים ומעט מרוחקים ממוקדי הריצה, שכן אלה שימשו בתצפיות מוקדי אינטראקציה שקטה, הצטרפות חברתית ומעבר מרגיעה בין פעילויות. שלישית, כדאי להכשיר את צוותי בתי הספר לראות בהפסקה זמן חינוכי לכל דבר: תצפית קצרה בחצר יכולה לשמש כלי זמין לזיהוי תלמידים המתקשים להצטרף למשחק ולזיהוי מוקדי חיכוך חוזרים, ולבסס החלטות של הצוות והיועצת על התבוננות שיטתית ולא על התרשמות אקראית. רביעית, מוצע לשתף את התלמידים עצמם בתכנון החצר ובחידושה, מתוך ההבנה שעלתה מן התצפיות שהם קוראים את המרחב בדרכם ומעניקים לו שימושים ומשמעויות משלהם.</w:t>
      </w:r>
    </w:p>
    <w:p>
      <w:pPr>
        <w:bidi/>
        <w:spacing w:after="0" w:before="0" w:line="480" w:lineRule="auto"/>
        <w:jc w:val="both"/>
      </w:pPr>
      <w:r>
        <w:rPr>
          <w:rFonts w:ascii="Times New Roman" w:cs="David" w:eastAsia="David" w:hAnsi="Times New Roman"/>
          <w:b w:val="false"/>
          <w:color w:val="000000"/>
          <w:sz w:val="24"/>
          <w:szCs w:val="24"/>
          <w:rtl/>
        </w:rPr>
        <w:t xml:space="preserve">העבודה החלה בשאלה מה קורה בין ילד לספסל, לעץ ולגדר בזמן ההפסקה. התצפיות הראו שקורה בהם הרבה: משחק, חברות, יצירה, מריבה ופיוס. חצר בית הספר התגלתה כמרחב חינוכי פעיל, שהשקעה מושכלת בו היא השקעה ישירה בהתפתחותם החברתית של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רשימת מקורות</w:t>
      </w:r>
    </w:p>
    <w:p>
      <w:pPr>
        <w:bidi/>
        <w:spacing w:line="480" w:lineRule="auto"/>
        <w:ind w:start="709" w:hanging="709"/>
        <w:jc w:val="start"/>
      </w:pPr>
      <w:r>
        <w:rPr>
          <w:rFonts w:ascii="Times New Roman" w:cs="David" w:eastAsia="David" w:hAnsi="Times New Roman"/>
          <w:b w:val="false"/>
          <w:color w:val="000000"/>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color w:val="000000"/>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color w:val="000000"/>
          <w:sz w:val="24"/>
          <w:szCs w:val="24"/>
          <w:rtl/>
        </w:rPr>
        <w:t xml:space="preserve">זבה, ר', וצ'רצ'מן, א' (1988). חצר בית-הספר היסודי: עקרונות תכנון כנגד עקרונות חינוך. עיונים בחינוך, 35-48. https://www.jstor.org/stable/23393161</w:t>
      </w:r>
    </w:p>
    <w:p>
      <w:pPr>
        <w:bidi/>
        <w:spacing w:line="480" w:lineRule="auto"/>
        <w:ind w:start="709" w:hanging="709"/>
        <w:jc w:val="start"/>
      </w:pPr>
      <w:r>
        <w:rPr>
          <w:rFonts w:ascii="Times New Roman" w:cs="David" w:eastAsia="David" w:hAnsi="Times New Roman"/>
          <w:b w:val="false"/>
          <w:color w:val="000000"/>
          <w:sz w:val="24"/>
          <w:szCs w:val="24"/>
          <w:rtl/>
        </w:rPr>
        <w:t xml:space="preserve">חן, ס' (2025). מעבר לגבולות השיתוף: תפיסות ההורים בתהליך הלמידה החברתית-רגשית (SEL) בבית הספר. חוקרים@צוותי חינוך-הורים, 3, 36-68.</w:t>
      </w:r>
    </w:p>
    <w:p>
      <w:pPr>
        <w:bidi/>
        <w:spacing w:line="480" w:lineRule="auto"/>
        <w:ind w:start="709" w:hanging="709"/>
        <w:jc w:val="start"/>
      </w:pPr>
      <w:r>
        <w:rPr>
          <w:rFonts w:ascii="Times New Roman" w:cs="David" w:eastAsia="David" w:hAnsi="Times New Roman"/>
          <w:b w:val="false"/>
          <w:color w:val="000000"/>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color w:val="000000"/>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color w:val="000000"/>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color w:val="000000"/>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color w:val="000000"/>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color w:val="000000"/>
          <w:sz w:val="24"/>
          <w:szCs w:val="24"/>
          <w:rtl/>
        </w:rPr>
        <w:t xml:space="preserve">רייכל, נ' (2015). מנהל בית הספר הרצוי ותפקידיו במשקפי הסגל החינוכי. עיונים במינהל ובארגון החינוך, 34, 111-132.</w:t>
      </w:r>
    </w:p>
    <w:p>
      <w:pPr>
        <w:bidi/>
        <w:spacing w:line="480" w:lineRule="auto"/>
        <w:ind w:start="709" w:hanging="709"/>
        <w:jc w:val="start"/>
      </w:pPr>
      <w:r>
        <w:rPr>
          <w:rFonts w:ascii="Times New Roman" w:cs="David" w:eastAsia="David" w:hAnsi="Times New Roman"/>
          <w:b w:val="false"/>
          <w:color w:val="000000"/>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color w:val="000000"/>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color w:val="000000"/>
          <w:sz w:val="24"/>
          <w:szCs w:val="24"/>
        </w:rPr>
        <w:t xml:space="preserve">Amholt, T. T., Westerskov Dalgas, B., Veitch, J., Ntoumanis, N., Fich Jespersen, J., Schipperijn, J., &amp; Pawlowski, C. S. (2022). Motivating playgrounds: Understanding how school playgrounds support autonomy, competence, and relatedness of tweens. International Journal of Qualitative Studies on Health and Well-being, 17(1), Article 2096085. https://doi.org/10.1080/17482631.2022.2096085</w:t>
      </w:r>
    </w:p>
    <w:p>
      <w:pPr>
        <w:spacing w:line="480" w:lineRule="auto"/>
        <w:ind w:start="709" w:hanging="709"/>
        <w:jc w:val="left"/>
      </w:pPr>
      <w:r>
        <w:rPr>
          <w:rFonts w:ascii="Times New Roman" w:cs="David" w:eastAsia="David" w:hAnsi="Times New Roman"/>
          <w:color w:val="000000"/>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color w:val="000000"/>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color w:val="000000"/>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color w:val="000000"/>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color w:val="000000"/>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color w:val="000000"/>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color w:val="000000"/>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color w:val="000000"/>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color w:val="000000"/>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color w:val="000000"/>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color w:val="000000"/>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color w:val="000000"/>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color w:val="000000"/>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color w:val="000000"/>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color w:val="000000"/>
          <w:sz w:val="24"/>
          <w:szCs w:val="24"/>
        </w:rPr>
        <w:t xml:space="preserve">Pereira, J. V., Dionísio, J., Lopes, F., &amp; Cordovil, R. (2023). Playing at the schoolyard: "The who's, the what's and the how long's" of loose parts. Children, 10(2), Article 240. https://doi.org/10.3390/children10020240</w:t>
      </w:r>
    </w:p>
    <w:p>
      <w:pPr>
        <w:spacing w:line="480" w:lineRule="auto"/>
        <w:ind w:start="709" w:hanging="709"/>
        <w:jc w:val="left"/>
      </w:pPr>
      <w:r>
        <w:rPr>
          <w:rFonts w:ascii="Times New Roman" w:cs="David" w:eastAsia="David" w:hAnsi="Times New Roman"/>
          <w:color w:val="000000"/>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color w:val="000000"/>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color w:val="000000"/>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color w:val="000000"/>
          <w:sz w:val="24"/>
          <w:szCs w:val="24"/>
        </w:rPr>
        <w:t xml:space="preserve">Strauss, A., &amp; Corbin, J. (1994). Grounded theory methodology: An overview. In N. K. Denzin &amp; Y. S. Lincoln (Eds.), Handbook of qualitative research (pp. 273-285). Sage.</w:t>
      </w:r>
    </w:p>
    <w:p>
      <w:pPr>
        <w:spacing w:line="480" w:lineRule="auto"/>
        <w:ind w:start="709" w:hanging="709"/>
        <w:jc w:val="left"/>
      </w:pPr>
      <w:r>
        <w:rPr>
          <w:rFonts w:ascii="Times New Roman" w:cs="David" w:eastAsia="David" w:hAnsi="Times New Roman"/>
          <w:color w:val="000000"/>
          <w:sz w:val="24"/>
          <w:szCs w:val="24"/>
        </w:rPr>
        <w:t xml:space="preserve">Verheyen, L., van Engelen, B. H. W., Winkens, B., Vanbrabant, K., Hannes, E., Nawrot, T. S., Malina, R., van Schayck, O. C. P., &amp; Plusquin, M. (2025). The impact of greening interventions in school grounds on social behavior and cognitive performance among primary school children. Frontiers in Public Health, 13, Article 1620199. https://doi.org/10.3389/fpubh.2025.1620199</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נספחים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א': תצפיות המחקר</w:t>
      </w:r>
    </w:p>
    <w:p>
      <w:pPr>
        <w:bidi/>
        <w:spacing w:after="0" w:before="0" w:line="480" w:lineRule="auto"/>
        <w:jc w:val="both"/>
      </w:pPr>
      <w:r>
        <w:rPr>
          <w:rFonts w:ascii="Times New Roman" w:cs="David" w:eastAsia="David" w:hAnsi="Times New Roman"/>
          <w:b w:val="false"/>
          <w:color w:val="000000"/>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color w:val="000000"/>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color w:val="000000"/>
          <w:sz w:val="24"/>
          <w:szCs w:val="24"/>
          <w:rtl/>
        </w:rPr>
        <w:t xml:space="preserve">תאריך: 11.01.2026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color w:val="000000"/>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color w:val="000000"/>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color w:val="000000"/>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color w:val="000000"/>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color w:val="000000"/>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color w:val="000000"/>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תאריך: 13.01.2026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color w:val="000000"/>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color w:val="000000"/>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21.01.2026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color w:val="000000"/>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color w:val="000000"/>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color w:val="000000"/>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color w:val="000000"/>
          <w:sz w:val="24"/>
          <w:szCs w:val="24"/>
          <w:rtl/>
        </w:rPr>
        <w:t xml:space="preserve">תאריך: 04.02.2026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color w:val="000000"/>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color w:val="000000"/>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color w:val="000000"/>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color w:val="000000"/>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color w:val="000000"/>
          <w:sz w:val="24"/>
          <w:szCs w:val="24"/>
          <w:rtl/>
        </w:rPr>
        <w:t xml:space="preserve">תאריך: 08.02.2026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color w:val="000000"/>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color w:val="000000"/>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color w:val="000000"/>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color w:val="000000"/>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10.02.2026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color w:val="000000"/>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color w:val="000000"/>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color w:val="000000"/>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color w:val="000000"/>
          <w:sz w:val="24"/>
          <w:szCs w:val="24"/>
          <w:rtl/>
        </w:rPr>
        <w:t xml:space="preserve">תאריך: 11.02.2026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color w:val="000000"/>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David" w:eastAsia="David" w:hAnsi="Times New Roman"/>
      <w:b/>
      <w:bCs/>
      <w:color w:val="000000"/>
      <w:sz w:val="32"/>
      <w:szCs w:val="32"/>
    </w:rPr>
  </w:style>
  <w:style w:type="paragraph" w:styleId="Heading2">
    <w:name w:val="Heading 2"/>
    <w:basedOn w:val="Normal"/>
    <w:next w:val="Normal"/>
    <w:qFormat/>
    <w:rPr>
      <w:rFonts w:ascii="Times New Roman" w:cs="David" w:eastAsia="David" w:hAnsi="Times New Roman"/>
      <w:b/>
      <w:bCs/>
      <w:color w:val="000000"/>
      <w:sz w:val="26"/>
      <w:szCs w:val="26"/>
    </w:rPr>
  </w:style>
  <w:style w:type="paragraph" w:styleId="TOC1">
    <w:name w:val="TOC 1"/>
    <w:basedOn w:val="Normal"/>
    <w:next w:val="Normal"/>
    <w:rPr>
      <w:rFonts w:ascii="Times New Roman" w:cs="David" w:eastAsia="David" w:hAnsi="Times New Roman"/>
      <w:color w:val="000000"/>
      <w:sz w:val="24"/>
      <w:szCs w:val="24"/>
    </w:rPr>
  </w:style>
  <w:style w:type="paragraph" w:styleId="TOC2">
    <w:name w:val="TOC 2"/>
    <w:basedOn w:val="Normal"/>
    <w:next w:val="Normal"/>
    <w:rPr>
      <w:rFonts w:ascii="Times New Roman" w:cs="David" w:eastAsia="David" w:hAnsi="Times New Roman"/>
      <w:color w:val="000000"/>
      <w:sz w:val="24"/>
      <w:szCs w:val="24"/>
    </w:rPr>
  </w:style>
  <w:style w:type="paragraph" w:styleId="Hyperlink">
    <w:name w:val="Hyperlink"/>
    <w:basedOn w:val="Normal"/>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2026-08-24T20:23:23.553Z</dcterms:created>
  <dcterms:modified xsi:type="dcterms:W3CDTF">2026-08-24T20:23:23.553Z</dcterms:modified>
</cp:coreProperties>
</file>

<file path=docProps/custom.xml><?xml version="1.0" encoding="utf-8"?>
<Properties xmlns="http://schemas.openxmlformats.org/officeDocument/2006/custom-properties" xmlns:vt="http://schemas.openxmlformats.org/officeDocument/2006/docPropsVTypes"/>
</file>