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40" w:before="0"/>
        <w:jc w:val="center"/>
        <w:bidi w:val="1"/>
      </w:pPr>
      <w:r>
        <w:rPr>
          <w:rFonts w:ascii="David" w:hAnsi="David" w:cs="David" w:eastAsia="David"/>
          <w:b/>
          <w:i w:val="0"/>
          <w:sz w:val="26"/>
          <w:szCs w:val="26"/>
          <w:bCs/>
        </w:rPr>
        <w:t>הקריה האקדמית אונו</w:t>
      </w:r>
    </w:p>
    <w:p>
      <w:pPr>
        <w:spacing w:lineRule="auto" w:line="360" w:after="40" w:before="0"/>
        <w:jc w:val="center"/>
        <w:bidi w:val="1"/>
      </w:pPr>
      <w:r>
        <w:rPr>
          <w:rFonts w:ascii="David" w:hAnsi="David" w:cs="David" w:eastAsia="David"/>
          <w:b w:val="0"/>
          <w:i w:val="0"/>
          <w:sz w:val="24"/>
          <w:szCs w:val="24"/>
        </w:rPr>
        <w:t>הפקולטה למדעי הרוח והחברה</w:t>
      </w:r>
    </w:p>
    <w:p>
      <w:pPr>
        <w:spacing w:lineRule="auto" w:line="360" w:after="40" w:before="0"/>
        <w:jc w:val="center"/>
        <w:bidi w:val="1"/>
      </w:pPr>
      <w:r>
        <w:rPr>
          <w:rFonts w:ascii="David" w:hAnsi="David" w:cs="David" w:eastAsia="David"/>
          <w:b w:val="0"/>
          <w:i w:val="0"/>
          <w:sz w:val="24"/>
          <w:szCs w:val="24"/>
        </w:rPr>
        <w:t>החוג למדעי היהדות, לימודים לתואר מוסמך</w:t>
      </w:r>
    </w:p>
    <w:p>
      <w:pPr>
        <w:spacing w:lineRule="auto" w:line="360" w:after="40" w:before="0"/>
        <w:jc w:val="center"/>
        <w:bidi w:val="1"/>
      </w:pPr>
      <w:r>
        <w:rPr>
          <w:rFonts w:ascii="David" w:hAnsi="David" w:cs="David" w:eastAsia="David"/>
          <w:b w:val="0"/>
          <w:i w:val="0"/>
          <w:sz w:val="24"/>
          <w:szCs w:val="24"/>
        </w:rPr>
        <w:t>עבודה מסכמת: יהדות וקרימינולוגיה</w:t>
      </w:r>
    </w:p>
    <w:p>
      <w:pPr>
        <w:spacing w:lineRule="auto" w:line="360" w:after="40" w:before="0"/>
        <w:jc w:val="center"/>
        <w:bidi w:val="1"/>
      </w:pPr>
      <w:r>
        <w:rPr>
          <w:rFonts w:ascii="David" w:hAnsi="David" w:cs="David" w:eastAsia="David"/>
          <w:b w:val="0"/>
          <w:i w:val="0"/>
          <w:sz w:val="24"/>
          <w:szCs w:val="24"/>
        </w:rPr>
        <w:t>הקורס: ויקטימולוגיה בראייה רב-תרבותית</w:t>
      </w:r>
    </w:p>
    <w:p>
      <w:pPr>
        <w:spacing w:lineRule="auto" w:line="360" w:after="40" w:before="0"/>
        <w:jc w:val="center"/>
        <w:bidi w:val="1"/>
      </w:pPr>
      <w:r>
        <w:rPr>
          <w:rFonts w:ascii="David" w:hAnsi="David" w:cs="David" w:eastAsia="David"/>
          <w:b w:val="0"/>
          <w:i w:val="0"/>
          <w:sz w:val="24"/>
          <w:szCs w:val="24"/>
        </w:rPr>
        <w:t>מרצה: ד"ר הדר פרנקו גלאור</w:t>
      </w:r>
    </w:p>
    <w:p>
      <w:pPr>
        <w:spacing w:lineRule="auto" w:line="360" w:after="0" w:before="0"/>
        <w:jc w:val="center"/>
        <w:bidi w:val="1"/>
      </w:pPr>
    </w:p>
    <w:p>
      <w:pPr>
        <w:spacing w:lineRule="auto" w:line="360" w:after="0" w:before="0"/>
        <w:jc w:val="center"/>
        <w:bidi w:val="1"/>
      </w:pPr>
    </w:p>
    <w:p>
      <w:pPr>
        <w:spacing w:lineRule="auto" w:line="360" w:after="0" w:before="0"/>
        <w:jc w:val="center"/>
        <w:bidi w:val="1"/>
      </w:pPr>
    </w:p>
    <w:p>
      <w:pPr>
        <w:spacing w:lineRule="auto" w:line="360" w:after="0" w:before="0"/>
        <w:jc w:val="center"/>
        <w:bidi w:val="1"/>
      </w:pPr>
    </w:p>
    <w:p>
      <w:pPr>
        <w:spacing w:lineRule="auto" w:line="360" w:after="0" w:before="0"/>
        <w:jc w:val="center"/>
        <w:bidi w:val="1"/>
      </w:pPr>
    </w:p>
    <w:p>
      <w:pPr>
        <w:spacing w:lineRule="auto" w:line="360" w:after="40" w:before="0"/>
        <w:jc w:val="center"/>
        <w:bidi w:val="1"/>
      </w:pPr>
      <w:r>
        <w:rPr>
          <w:rFonts w:ascii="David" w:hAnsi="David" w:cs="David" w:eastAsia="David"/>
          <w:b/>
          <w:i w:val="0"/>
          <w:sz w:val="36"/>
          <w:szCs w:val="36"/>
          <w:bCs/>
        </w:rPr>
        <w:t>צדק מאחה בין נפגע לפוגע:</w:t>
      </w:r>
    </w:p>
    <w:p>
      <w:pPr>
        <w:spacing w:lineRule="auto" w:line="360" w:after="40" w:before="0"/>
        <w:jc w:val="center"/>
        <w:bidi w:val="1"/>
      </w:pPr>
      <w:r>
        <w:rPr>
          <w:rFonts w:ascii="David" w:hAnsi="David" w:cs="David" w:eastAsia="David"/>
          <w:b/>
          <w:i w:val="0"/>
          <w:sz w:val="32"/>
          <w:szCs w:val="32"/>
          <w:bCs/>
        </w:rPr>
        <w:t>מנקמה לאיחוי בראי הקרימינולוגיה והיהדות</w:t>
      </w:r>
    </w:p>
    <w:p>
      <w:pPr>
        <w:spacing w:lineRule="auto" w:line="360" w:after="0" w:before="0"/>
        <w:jc w:val="center"/>
        <w:bidi w:val="1"/>
      </w:pPr>
    </w:p>
    <w:p>
      <w:pPr>
        <w:spacing w:lineRule="auto" w:line="360" w:after="0" w:before="0"/>
        <w:jc w:val="center"/>
        <w:bidi w:val="1"/>
      </w:pPr>
    </w:p>
    <w:p>
      <w:pPr>
        <w:spacing w:lineRule="auto" w:line="360" w:after="0" w:before="0"/>
        <w:jc w:val="center"/>
        <w:bidi w:val="1"/>
      </w:pPr>
    </w:p>
    <w:p>
      <w:pPr>
        <w:spacing w:lineRule="auto" w:line="360" w:after="0" w:before="0"/>
        <w:jc w:val="center"/>
        <w:bidi w:val="1"/>
      </w:pPr>
    </w:p>
    <w:p>
      <w:pPr>
        <w:spacing w:lineRule="auto" w:line="360" w:after="0" w:before="0"/>
        <w:jc w:val="center"/>
        <w:bidi w:val="1"/>
      </w:pPr>
    </w:p>
    <w:p>
      <w:pPr>
        <w:spacing w:lineRule="auto" w:line="360" w:after="0" w:before="0"/>
        <w:jc w:val="center"/>
        <w:bidi w:val="1"/>
      </w:pPr>
    </w:p>
    <w:p>
      <w:pPr>
        <w:spacing w:lineRule="auto" w:line="360" w:after="0" w:before="0"/>
        <w:jc w:val="center"/>
        <w:bidi w:val="1"/>
      </w:pPr>
    </w:p>
    <w:p>
      <w:pPr>
        <w:spacing w:lineRule="auto" w:line="360" w:after="40" w:before="0"/>
        <w:jc w:val="center"/>
        <w:bidi w:val="1"/>
      </w:pPr>
      <w:r>
        <w:rPr>
          <w:rFonts w:ascii="David" w:hAnsi="David" w:cs="David" w:eastAsia="David"/>
          <w:b w:val="0"/>
          <w:i w:val="0"/>
          <w:sz w:val="24"/>
          <w:szCs w:val="24"/>
        </w:rPr>
        <w:t xml:space="preserve">מגיש/ה: </w:t>
      </w:r>
      <w:r>
        <w:rPr>
          <w:rFonts w:ascii="David" w:hAnsi="David" w:cs="David" w:eastAsia="David"/>
          <w:b w:val="0"/>
          <w:i w:val="0"/>
          <w:sz w:val="24"/>
          <w:szCs w:val="24"/>
          <w:highlight w:val="yellow"/>
        </w:rPr>
        <w:t>[שם מלא]</w:t>
      </w:r>
    </w:p>
    <w:p>
      <w:pPr>
        <w:spacing w:lineRule="auto" w:line="360" w:after="40" w:before="0"/>
        <w:jc w:val="center"/>
        <w:bidi w:val="1"/>
      </w:pPr>
      <w:r>
        <w:rPr>
          <w:rFonts w:ascii="David" w:hAnsi="David" w:cs="David" w:eastAsia="David"/>
          <w:b w:val="0"/>
          <w:i w:val="0"/>
          <w:sz w:val="24"/>
          <w:szCs w:val="24"/>
        </w:rPr>
        <w:t xml:space="preserve">ת.ז.: </w:t>
      </w:r>
      <w:r>
        <w:rPr>
          <w:rFonts w:ascii="David" w:hAnsi="David" w:cs="David" w:eastAsia="David"/>
          <w:b w:val="0"/>
          <w:i w:val="0"/>
          <w:sz w:val="24"/>
          <w:szCs w:val="24"/>
          <w:highlight w:val="yellow"/>
        </w:rPr>
        <w:t>[מספר תעודת זהות]</w:t>
      </w:r>
    </w:p>
    <w:p>
      <w:pPr>
        <w:spacing w:lineRule="auto" w:line="360" w:after="40" w:before="0"/>
        <w:jc w:val="center"/>
        <w:bidi w:val="1"/>
      </w:pPr>
      <w:r>
        <w:rPr>
          <w:rFonts w:ascii="David" w:hAnsi="David" w:cs="David" w:eastAsia="David"/>
          <w:b w:val="0"/>
          <w:i w:val="0"/>
          <w:sz w:val="24"/>
          <w:szCs w:val="24"/>
        </w:rPr>
        <w:t xml:space="preserve">תאריך הגשה: </w:t>
      </w:r>
      <w:r>
        <w:rPr>
          <w:rFonts w:ascii="David" w:hAnsi="David" w:cs="David" w:eastAsia="David"/>
          <w:b w:val="0"/>
          <w:i w:val="0"/>
          <w:sz w:val="24"/>
          <w:szCs w:val="24"/>
          <w:highlight w:val="yellow"/>
        </w:rPr>
        <w:t>[תאריך עברי ולועזי]</w:t>
      </w:r>
    </w:p>
    <w:p>
      <w:pPr>
        <w:spacing w:lineRule="auto" w:line="360" w:after="120" w:before="240"/>
        <w:jc w:val="right"/>
        <w:pageBreakBefore/>
        <w:bidi w:val="1"/>
      </w:pPr>
      <w:r>
        <w:rPr>
          <w:rFonts w:ascii="David" w:hAnsi="David" w:cs="David" w:eastAsia="David"/>
          <w:b/>
          <w:i w:val="0"/>
          <w:sz w:val="28"/>
          <w:szCs w:val="28"/>
          <w:bCs/>
        </w:rPr>
        <w:t>פתיח</w:t>
      </w:r>
    </w:p>
    <w:p>
      <w:pPr>
        <w:spacing w:lineRule="auto" w:line="360" w:after="120" w:before="0"/>
        <w:jc w:val="both"/>
        <w:bidi w:val="1"/>
      </w:pPr>
      <w:r>
        <w:rPr>
          <w:rFonts w:ascii="David" w:hAnsi="David" w:cs="David" w:eastAsia="David"/>
          <w:b w:val="0"/>
          <w:i w:val="0"/>
          <w:sz w:val="24"/>
          <w:szCs w:val="24"/>
        </w:rPr>
        <w:t>עבודת הסמינר ביהדות עסקה ב</w:t>
      </w:r>
      <w:r>
        <w:rPr>
          <w:rFonts w:ascii="David" w:hAnsi="David" w:cs="David" w:eastAsia="David"/>
          <w:b w:val="0"/>
          <w:i w:val="0"/>
          <w:sz w:val="24"/>
          <w:szCs w:val="24"/>
          <w:highlight w:val="yellow"/>
        </w:rPr>
        <w:t>[נושא עבודת הסמינר ביהדות]</w:t>
      </w:r>
      <w:r>
        <w:rPr>
          <w:rFonts w:ascii="David" w:hAnsi="David" w:cs="David" w:eastAsia="David"/>
          <w:b w:val="0"/>
          <w:i w:val="0"/>
          <w:sz w:val="24"/>
          <w:szCs w:val="24"/>
        </w:rPr>
        <w:t>, ועבודת הסמינר בקרימינולוגיה עסקה ב</w:t>
      </w:r>
      <w:r>
        <w:rPr>
          <w:rFonts w:ascii="David" w:hAnsi="David" w:cs="David" w:eastAsia="David"/>
          <w:b w:val="0"/>
          <w:i w:val="0"/>
          <w:sz w:val="24"/>
          <w:szCs w:val="24"/>
          <w:highlight w:val="yellow"/>
        </w:rPr>
        <w:t>[נושא עבודת הסמינר בקרימינולוגיה]</w:t>
      </w:r>
      <w:r>
        <w:rPr>
          <w:rFonts w:ascii="David" w:hAnsi="David" w:cs="David" w:eastAsia="David"/>
          <w:b w:val="0"/>
          <w:i w:val="0"/>
          <w:sz w:val="24"/>
          <w:szCs w:val="24"/>
        </w:rPr>
        <w:t>. העבודה הנוכחית עוסקת בנושא אחר: צדק מאחה כתגובה חברתית לפשיעה, ומקומם של הנפגע והפוגע בה.</w:t>
      </w:r>
    </w:p>
    <w:p>
      <w:pPr>
        <w:spacing w:lineRule="auto" w:line="360" w:after="120" w:before="240"/>
        <w:jc w:val="right"/>
        <w:bidi w:val="1"/>
      </w:pPr>
      <w:r>
        <w:rPr>
          <w:rFonts w:ascii="David" w:hAnsi="David" w:cs="David" w:eastAsia="David"/>
          <w:b/>
          <w:i w:val="0"/>
          <w:sz w:val="28"/>
          <w:szCs w:val="28"/>
          <w:bCs/>
        </w:rPr>
        <w:t>סעיף א': הצגת הנושא</w:t>
      </w:r>
    </w:p>
    <w:p>
      <w:pPr>
        <w:spacing w:lineRule="auto" w:line="360" w:after="120" w:before="0"/>
        <w:jc w:val="both"/>
        <w:bidi w:val="1"/>
      </w:pPr>
      <w:r>
        <w:rPr>
          <w:rFonts w:ascii="David" w:hAnsi="David" w:cs="David" w:eastAsia="David"/>
          <w:b w:val="0"/>
          <w:i w:val="0"/>
          <w:sz w:val="24"/>
          <w:szCs w:val="24"/>
        </w:rPr>
        <w:t>צדק מאחה הוא גישה לתגובה חברתית לפשיעה הרואה בעבירה בראש ובראשונה פגיעה בבני אדם וביחסים שביניהם, ולא רק הפרה של חוק המדינה. השאלה אינה איזה חוק הופר אלא מי נפגע ומי אחראי לתיקון. ליבת ההליך היא מפגש מונחה בין הנפגע לפוגע, לעיתים בנוכחות תומכים ונציגי קהילה, שבו הפוגע מקבל אחריות על מעשיו והצדדים מגבשים יחד הסכם לתיקון הנזק (קלר-חלמיש ופלג-קוריאט, 2020).</w:t>
      </w:r>
    </w:p>
    <w:p>
      <w:pPr>
        <w:spacing w:lineRule="auto" w:line="360" w:after="120" w:before="0"/>
        <w:jc w:val="both"/>
        <w:bidi w:val="1"/>
      </w:pPr>
      <w:r>
        <w:rPr>
          <w:rFonts w:ascii="David" w:hAnsi="David" w:cs="David" w:eastAsia="David"/>
          <w:b w:val="0"/>
          <w:i w:val="0"/>
          <w:sz w:val="24"/>
          <w:szCs w:val="24"/>
        </w:rPr>
        <w:t>הנתונים על פגיעות מיניות ממחישים מדוע הגישה מושכת תשומת לב. רק 13.7% מהפונות למרכזי הסיוע לנפגעות תקיפה מינית מגישות תלונה במשטרה, וכ-84% מהתלונות נסגרות ללא כתב אישום, כך שהצדק הפורמלי חומק מידיהן של רוב הנפגעות (קלר-חלמיש ופלג-קוריאט, 2020: 37-38). בישראל אין תוכנית ממלכתית לצדק מאחה בעבירות מין, אף שוועדה בין-משרדית בראשות השופטת בדימוס ברלינר המליצה ב-2020 לפתח אותה. תוכנית "בצדק", הפועלת מאז 2011 ללא תמיכה ממסדית, קיבלה יותר מ-400 פניות, כ-65% מהן מנפגעות ומנפגעים, וכ-30% מהפניות הבשילו לתהליך מלא (הדר וגל, 2023: 356, 361). מחקר שראיין עשרים נפגעות ונפגעי אלימות מינית שהשתתפו במפגשים כאלה, לצד חמישה תומכים וחמש מנחות, מצא שינויים מיטיבים בעיקר ביחס הנפגעות לעצמן ולפוגע: ירידה בחרדה ובאשמה, תחושת העצמה ומסוגלות והשלמה עם הפגיעה. השינויים ביחס לקהילה היו מצומצמים, ואצל חלק מהנפגעות עלו כעס ואכזבה כלפי משפחה וחברים שלא תמכו (הדר וגל, 2023: 364-368).</w:t>
      </w:r>
    </w:p>
    <w:p>
      <w:pPr>
        <w:spacing w:lineRule="auto" w:line="360" w:after="120" w:before="0"/>
        <w:jc w:val="both"/>
        <w:bidi w:val="1"/>
      </w:pPr>
      <w:r>
        <w:rPr>
          <w:rFonts w:ascii="David" w:hAnsi="David" w:cs="David" w:eastAsia="David"/>
          <w:b w:val="0"/>
          <w:i w:val="0"/>
          <w:sz w:val="24"/>
          <w:szCs w:val="24"/>
        </w:rPr>
        <w:t>בהשוואה בינלאומית, תהליכי צדק מאחה בפגיעות מיניות מתקיימים ברחבי העולם בתוכניות שונות, חלקן ממוקדות בנפגעת, חלקן בפוגע או בבני נוער, ובמגוון רחב של קשרי גומלין עם רשויות המדינה, כך שאין מודל אחד שעונה על ציפיות כל הצדדים (קלר-חלמיש ופלג-קוריאט, 2020: 46-47). ההיבט הרב-תרבותי בולט בישראל במיוחד. בחברה הערבית, הקולקטיביסטית יותר, כבוד המשפחה ושמה מובילים משפחות רבות להעדיף טיפול פנימי בפגיעה, בין השאר דרך הסולחה המסורתית, שדומה בתכליתה לצדק מאחה, וזאת גם על רקע אמון נמוך במשטרה ובמערכת המשפט (Peleg-Koriat, 2026: 1907). במחקר שהשווה בין 257 משיבים יהודים ל-260 ערבים, היהודים תפסו פגיעה מינית בתוך המשפחה כחמורה יותר מפגיעה מחוץ לה ותמכו פחות בצדק מאחה במקרים אלה, ואילו הערבים לא הבחינו בין שני סוגי הפגיעה, ותמיכתם בהליך הייתה גבוהה יותר והושפעה פחות מחומרת העבירה (Peleg-Koriat, 2026).</w:t>
      </w:r>
    </w:p>
    <w:p>
      <w:pPr>
        <w:spacing w:lineRule="auto" w:line="360" w:after="120" w:before="240"/>
        <w:jc w:val="right"/>
        <w:bidi w:val="1"/>
      </w:pPr>
      <w:r>
        <w:rPr>
          <w:rFonts w:ascii="David" w:hAnsi="David" w:cs="David" w:eastAsia="David"/>
          <w:b/>
          <w:i w:val="0"/>
          <w:sz w:val="28"/>
          <w:szCs w:val="28"/>
          <w:bCs/>
        </w:rPr>
        <w:t>סעיף ב': ניתוח קרימינולוגי</w:t>
      </w:r>
    </w:p>
    <w:p>
      <w:pPr>
        <w:spacing w:lineRule="auto" w:line="360" w:after="120" w:before="0"/>
        <w:jc w:val="both"/>
        <w:bidi w:val="1"/>
      </w:pPr>
      <w:r>
        <w:rPr>
          <w:rFonts w:ascii="David" w:hAnsi="David" w:cs="David" w:eastAsia="David"/>
          <w:b/>
          <w:i w:val="0"/>
          <w:sz w:val="24"/>
          <w:szCs w:val="24"/>
          <w:bCs/>
        </w:rPr>
        <w:t>תיאוריית התיוג.</w:t>
      </w:r>
      <w:r>
        <w:rPr>
          <w:rFonts w:ascii="David" w:hAnsi="David" w:cs="David" w:eastAsia="David"/>
          <w:b w:val="0"/>
          <w:i w:val="0"/>
          <w:sz w:val="24"/>
          <w:szCs w:val="24"/>
        </w:rPr>
        <w:t xml:space="preserve"> נקודת המוצא של תיאוריית התיוג היא יחסיות הסטייה: אין מעשה סוטה כשלעצמו, אלא מעשה שהחברה הגיבה עליו והגדירה אותו ככזה. התגובה החברתית לפשיעה, ובעיקר זו הפורמלית של משטרה ובית משפט, מדביקה לאדם תווית של "עבריין" המעצבת את זהותו ואת יחסם של אחרים אליו. כאן עוברת ההבחנה בין עבריינות ראשונית, מעשה ראשון בעל גורמים מזדמנים, לבין עבריינות משנית, שבה הסטייה נעשית לאמצעי הגנה או הסתגלות לבעיות שהתיוג עצמו יצר (Lemert, 1967, כפי שמצוטט אצל Bernburg, 2019). סקירת המחקר העדכני מזהה שלושה תהליכים שדרכם תיוג פלילי רשמי מגדיל את הסיכוי לעבריינות בהמשך: גיבוש תפיסה עצמית סוטה, הדרה חברתית שבה מורים, מעסיקים ובני קהילה דוחים את המתויג והוא עצמו נסוג מהם מחשש לדחייה, והשתקעות בקבוצות עברייניות שבהן התווית אינה מכשול אלא יתרון. מיעוטים ועניים פגיעים יותר לתיוג בשל סטריאוטיפים הקושרים אותם לפשיעה (Bernburg, 2019).</w:t>
      </w:r>
    </w:p>
    <w:p>
      <w:pPr>
        <w:spacing w:lineRule="auto" w:line="360" w:after="120" w:before="0"/>
        <w:jc w:val="both"/>
        <w:bidi w:val="1"/>
      </w:pPr>
      <w:r>
        <w:rPr>
          <w:rFonts w:ascii="David" w:hAnsi="David" w:cs="David" w:eastAsia="David"/>
          <w:b w:val="0"/>
          <w:i w:val="0"/>
          <w:sz w:val="24"/>
          <w:szCs w:val="24"/>
        </w:rPr>
        <w:t>צדק מאחה נולד מתוך ביקורת זו. בריית'ווייט טען שבחברות קהילתניות הגינוי המוסרי, הבִּיוּש, מלווה במאמצים להשיב את הפוגע לקהילה דרך סליחה, שמירה על הקשרים וטקסים המסמנים שהוא אינו עוד סוטה, ואילו בחברות אינדיבידואליסטיות הביוש מסתיים בסטיגמה והתיוג הפורמלי קרימינוגני יותר (Braithwaite, 1989, כפי שמצוטט אצל Bernburg, 2019). המפגש המאחה הוא הגלמה מוסדית של הרעיון: הפוגע עומד מול הנזק בנוכחות אנשים שחשובים לו, מקבל אחריות, ומתקבל בחזרה לקהילה בתום ההליך. הנפגעות עצמן ציפו שהפוגע ייקח אחריות במפגש, ותומך של נפגע תיאר את כוחה של הקהילה להיות מגוננת ולהתמודד עם הפוגע בעת ובעונה אחת (הדר וגל, 2023: 364-367).</w:t>
      </w:r>
    </w:p>
    <w:p>
      <w:pPr>
        <w:spacing w:lineRule="auto" w:line="360" w:after="120" w:before="0"/>
        <w:jc w:val="both"/>
        <w:bidi w:val="1"/>
      </w:pPr>
      <w:r>
        <w:rPr>
          <w:rFonts w:ascii="David" w:hAnsi="David" w:cs="David" w:eastAsia="David"/>
          <w:b w:val="0"/>
          <w:i w:val="0"/>
          <w:sz w:val="24"/>
          <w:szCs w:val="24"/>
        </w:rPr>
        <w:t>תיאוריית התיוג חלה גם על הנפגע. ואן דייק מראה שהמילה "קורבן" בשפות המערב נגזרת מן המילה הלטינית לבעל חיים המוקרב, בעוד שבסינית וביפנית מכונה הנפגע במונח ניטרלי, "מי שספג את הנזק". התווית נושאת קונוטציה של סבל פסיבי וחוסר אונים, ומי שמסרב לה ומציג את עצמו כשורד חזק מעורר לעיתים עוינות (Van Dijk, 2020: 74-76). ניסוי שבו תוארה אותה אישה פעם כ"קורבן" ופעם כ"שורדת" של אונס מצא שהמילה "קורבן" גרמה למשיבים לתפוס אותה כחלשה, פסיבית ותמימה יותר (Papendick &amp; Bohner, 2017, כפי שמצוטט אצל Van Dijk, 2020). ההליך הפלילי מקבע את התווית, שכן הנפגע הוא בו עד ולא צד. צדק מאחה מציע מסלול הפוך: הנפגע בוחר, מדבר בקולו ומעצב את הסכם התיקון.</w:t>
      </w:r>
    </w:p>
    <w:p>
      <w:pPr>
        <w:spacing w:lineRule="auto" w:line="360" w:after="120" w:before="0"/>
        <w:jc w:val="both"/>
        <w:bidi w:val="1"/>
      </w:pPr>
      <w:r>
        <w:rPr>
          <w:rFonts w:ascii="David" w:hAnsi="David" w:cs="David" w:eastAsia="David"/>
          <w:b w:val="0"/>
          <w:i w:val="0"/>
          <w:sz w:val="24"/>
          <w:szCs w:val="24"/>
        </w:rPr>
        <w:t>יחסיות הסטייה ניכרת גם בשאלה מי נחשב ראוי להליך מאחה. בשני ניסויים שנערכו בישראל, עם 446 ו-560 משתתפים, נמצאה הטיה אתנית מובהקת בתמיכה בצדק מאחה לפי זהותם של הפוגע, הנפגע והמשיב, חזקה יותר בעבירות על רקע פוליטי מאשר בעבירות פליליות רגילות, ומתווכת במלואה דרך האמונה ביכולתו של הפוגע להשתנות (Peleg-Koriat et al., 2025). אותו מעשה נתפס כניתן לתיקון או לא לפי מי שביצע אותו, וההחלטה מי יופנה להליך מאחה ומי לענישה היא עצמה תגובה חברתית מתייגת.</w:t>
      </w:r>
    </w:p>
    <w:p>
      <w:pPr>
        <w:spacing w:lineRule="auto" w:line="360" w:after="120" w:before="0"/>
        <w:jc w:val="both"/>
        <w:bidi w:val="1"/>
      </w:pPr>
      <w:r>
        <w:rPr>
          <w:rFonts w:ascii="David" w:hAnsi="David" w:cs="David" w:eastAsia="David"/>
          <w:b/>
          <w:i w:val="0"/>
          <w:sz w:val="24"/>
          <w:szCs w:val="24"/>
          <w:bCs/>
        </w:rPr>
        <w:t>ויקטימולוגיה פמיניסטית.</w:t>
      </w:r>
      <w:r>
        <w:rPr>
          <w:rFonts w:ascii="David" w:hAnsi="David" w:cs="David" w:eastAsia="David"/>
          <w:b w:val="0"/>
          <w:i w:val="0"/>
          <w:sz w:val="24"/>
          <w:szCs w:val="24"/>
        </w:rPr>
        <w:t xml:space="preserve"> הגישה השנייה בוחנת את הנושא מנקודת מבטה של הנפגעת ושל יחסי הכוח הממוגדרים סביבה. המאבק הפמיניסטי של שלושים השנים האחרונות שינה חוקים ונהלים, אך לא את חוויית הנפגעות בהליך הפלילי, שמתמקד בנאשם ולא בהן. הספרות מכנה את המסע שהן עוברות בו "אונס שני": חוסר אמון, זלזול, פקפוק בחוויותיהן, והפיכתן לאובייקט כפי שנעשה להן בעת הפגיעה, כלומר קורבנות משנית (קלר-חלמיש ופלג-קוריאט, 2020: 37-38). מול זה עומדים צורכי הצדק וההחלמה של הנפגעות: תחושת ביטחון והטלת האחריות על הפוגע, קבלת תשובות, איחוי מערכות היחסים, ואיחוי תחושת העצמי והפסקת ההאשמה העצמית (קלר-חלמיש ופלג-קוריאט, 2020: 37).</w:t>
      </w:r>
    </w:p>
    <w:p>
      <w:pPr>
        <w:spacing w:lineRule="auto" w:line="360" w:after="120" w:before="0"/>
        <w:jc w:val="both"/>
        <w:bidi w:val="1"/>
      </w:pPr>
      <w:r>
        <w:rPr>
          <w:rFonts w:ascii="David" w:hAnsi="David" w:cs="David" w:eastAsia="David"/>
          <w:b w:val="0"/>
          <w:i w:val="0"/>
          <w:sz w:val="24"/>
          <w:szCs w:val="24"/>
        </w:rPr>
        <w:t>התגובה החברתית לנפגע עצמו ממוגדרת אף היא. ניתוח של 1,890 תגובות גולשים לחשיפות של נפגעי פגיעה מינית במסגרת #MeToo בישראל מצא שרק 1.1% מהתגובות היו לא תומכות, אך נשים זכו לתמיכה רגשית ורשתית רבה יותר מגברים, ואילו גברים קיבלו יותר תמיכה מעריכה, דפוס המבטא סטריאוטיפים מגדריים כלפי קורבנותם (לוינשטיין-ברקאי, 2020). זו הסיבה שהגישה הפמיניסטית מתנגדת לדמות "הקורבן האידיאלי" ודורשת הכרה גם במי שאינו תואם אותה. אך גם צדק מאחה חשוד בעיניה, בשל מאפייניה הייחודיים של הפגיעה המינית: הבושה, הטאבו, הפגיעה הרגשית המוגברת, החשש לביטחון והפגיעה באמון הבסיסי, שכן רוב הפוגעים מוכרים לנפגעת. קלר-חלמיש ופלג-קוריאט (2020) טוענות שמחאת #MeToo חשפה את כישלון ההליך הפלילי, ולכן יש להנגיש צדק מאחה לפגיעות מיניות בתנאים מגוננים: וולונטריות מלאה לכל הצדדים, הכנה מעמיקה, מנחים בעלי מומחיות וקריטריונים ברורים להתאמת המקרה (עמ' 43-45). ממצאי הראיונות תומכים בעמדה זו. הנפגעות תיארו את ההליך כחוויה של החזרת שליטה ואוטונומיה, שכן הן מובילות אותו ומחליטות על כל פרט בו (הדר וגל, 2023: 369-370).</w:t>
      </w:r>
    </w:p>
    <w:p>
      <w:pPr>
        <w:spacing w:lineRule="auto" w:line="360" w:after="120" w:before="0"/>
        <w:jc w:val="both"/>
        <w:bidi w:val="1"/>
      </w:pPr>
      <w:r>
        <w:rPr>
          <w:rFonts w:ascii="David" w:hAnsi="David" w:cs="David" w:eastAsia="David"/>
          <w:b w:val="0"/>
          <w:i w:val="0"/>
          <w:sz w:val="24"/>
          <w:szCs w:val="24"/>
        </w:rPr>
        <w:t>שתי התיאוריות משלימות זו את זו ומתנגשות בנקודה אחת. התיוג ממקד את המבט בפוגע ובמניעת קיבוע זהותו העבריינית, והוויקטימולוגיה הפמיניסטית בנפגעת ובפערי הכוח. ההליך מצליח רק כשהוא מחזיק את שתיהן: שילוב הפוגע מחדש בלי שהמחיר יהיה קולה של הנפגעת.</w:t>
      </w:r>
    </w:p>
    <w:p>
      <w:pPr>
        <w:spacing w:lineRule="auto" w:line="360" w:after="120" w:before="240"/>
        <w:jc w:val="right"/>
        <w:bidi w:val="1"/>
      </w:pPr>
      <w:r>
        <w:rPr>
          <w:rFonts w:ascii="David" w:hAnsi="David" w:cs="David" w:eastAsia="David"/>
          <w:b/>
          <w:i w:val="0"/>
          <w:sz w:val="28"/>
          <w:szCs w:val="28"/>
          <w:bCs/>
        </w:rPr>
        <w:t>סעיף ג': ניתוח מפרספקטיבה יהודית</w:t>
      </w:r>
    </w:p>
    <w:p>
      <w:pPr>
        <w:spacing w:lineRule="auto" w:line="360" w:after="120" w:before="0"/>
        <w:jc w:val="both"/>
        <w:bidi w:val="1"/>
      </w:pPr>
      <w:r>
        <w:rPr>
          <w:rFonts w:ascii="David" w:hAnsi="David" w:cs="David" w:eastAsia="David"/>
          <w:b w:val="0"/>
          <w:i w:val="0"/>
          <w:sz w:val="24"/>
          <w:szCs w:val="24"/>
        </w:rPr>
        <w:t xml:space="preserve">הפרספקטיבה היהודית על צדק מאחה נלמדה בתואר בשני מוקדים: המקרא וספרות חז"ל בקורס </w:t>
      </w:r>
      <w:r>
        <w:rPr>
          <w:rFonts w:ascii="David" w:hAnsi="David" w:cs="David" w:eastAsia="David"/>
          <w:b w:val="0"/>
          <w:i w:val="0"/>
          <w:sz w:val="24"/>
          <w:szCs w:val="24"/>
          <w:highlight w:val="yellow"/>
        </w:rPr>
        <w:t>[שם הקורס]</w:t>
      </w:r>
      <w:r>
        <w:rPr>
          <w:rFonts w:ascii="David" w:hAnsi="David" w:cs="David" w:eastAsia="David"/>
          <w:b w:val="0"/>
          <w:i w:val="0"/>
          <w:sz w:val="24"/>
          <w:szCs w:val="24"/>
        </w:rPr>
        <w:t xml:space="preserve">, וספרות ההלכה של ימי הביניים ואילך בקורס </w:t>
      </w:r>
      <w:r>
        <w:rPr>
          <w:rFonts w:ascii="David" w:hAnsi="David" w:cs="David" w:eastAsia="David"/>
          <w:b w:val="0"/>
          <w:i w:val="0"/>
          <w:sz w:val="24"/>
          <w:szCs w:val="24"/>
          <w:highlight w:val="yellow"/>
        </w:rPr>
        <w:t>[שם הקורס]</w:t>
      </w:r>
      <w:r>
        <w:rPr>
          <w:rFonts w:ascii="David" w:hAnsi="David" w:cs="David" w:eastAsia="David"/>
          <w:b w:val="0"/>
          <w:i w:val="0"/>
          <w:sz w:val="24"/>
          <w:szCs w:val="24"/>
        </w:rPr>
        <w:t>. הערכים המרכזיים שעלו בהם ביחס לנושא הם וידוי, השבה, פיוס ומחילה.</w:t>
      </w:r>
    </w:p>
    <w:p>
      <w:pPr>
        <w:spacing w:lineRule="auto" w:line="360" w:after="120" w:before="0"/>
        <w:jc w:val="both"/>
        <w:bidi w:val="1"/>
      </w:pPr>
      <w:r>
        <w:rPr>
          <w:rFonts w:ascii="David" w:hAnsi="David" w:cs="David" w:eastAsia="David"/>
          <w:b/>
          <w:i w:val="0"/>
          <w:sz w:val="24"/>
          <w:szCs w:val="24"/>
          <w:bCs/>
        </w:rPr>
        <w:t>מקורות התשתית.</w:t>
      </w:r>
      <w:r>
        <w:rPr>
          <w:rFonts w:ascii="David" w:hAnsi="David" w:cs="David" w:eastAsia="David"/>
          <w:b w:val="0"/>
          <w:i w:val="0"/>
          <w:sz w:val="24"/>
          <w:szCs w:val="24"/>
        </w:rPr>
        <w:t xml:space="preserve"> התורה מכירה בשני מעגלי פגיעה ומטילה חובות על שני הצדדים. על הפוגע: "והתודו את חטאתם אשר עשו והשיב את אשמו בראשו וחמישיתו יוסף עליו ונתן לאשר אשם לו" (במדבר ה, ז). כלומר וידוי, השבה בתוספת חומש, ומסירה ישירה לידי הנפגע ולא לקופת הציבור. על הנפגע: "לא תשנא את אחיך בלבבך הוכח תוכיח את עמיתך... לא תקם ולא תטר... ואהבת לרעך כמוך" (ויקרא יט, יז-יח). האיסור על נקמה ונטירה אינו מותיר את הנפגע בשתיקה, אלא מחליף את הנקמה בתוכחה, כלומר בפנייה ישירה אל הפוגע.</w:t>
      </w:r>
    </w:p>
    <w:p>
      <w:pPr>
        <w:spacing w:lineRule="auto" w:line="360" w:after="120" w:before="0"/>
        <w:jc w:val="both"/>
        <w:bidi w:val="1"/>
      </w:pPr>
      <w:r>
        <w:rPr>
          <w:rFonts w:ascii="David" w:hAnsi="David" w:cs="David" w:eastAsia="David"/>
          <w:b w:val="0"/>
          <w:i w:val="0"/>
          <w:sz w:val="24"/>
          <w:szCs w:val="24"/>
        </w:rPr>
        <w:t>חז"ל הפכו עקרונות אלו למנגנון. המשנה קובעת: "עבירות שבין אדם למקום יום הכיפורים מכפר, עבירות שבין אדם לחברו אין יום הכיפורים מכפר עד שירצה את חברו" (משנה, יומא ח, ט). המבנה מבחין בין הפגיעה בסדר הציבורי, שהמערכת יכולה לכפר עליה, לבין הפגיעה באדם, שאיש אינו רשאי למחול עליה בשמו. במסכת בבא קמא הכלל מפורש עוד יותר: החובל ששילם "אין נמחל לו עד שיבקש ממנו", והנפגע מוזהר מצידו "שלא יהא המוחל אכזרי" (משנה, בבא קמא ח, ז; בבלי, בבא קמא צב ע"א). הגמרא לומדת את חובת המחילה מאברהם, שהתפלל לרפואת אבימלך לאחר שזה לקח את שרה (בראשית כ, יז), ומוסיפה: "כל המבקש רחמים על חברו והוא צריך לאותו דבר, הוא נענה תחילה" (בבלי, בבא קמא צב ע"א). הנפגע שפועל לטובת הפוגע אינו מוותר על עצמו אלא נרפא ראשון. התשלום הכספי הוא רק תחילת התיקון. סופו במפגש.</w:t>
      </w:r>
    </w:p>
    <w:p>
      <w:pPr>
        <w:spacing w:lineRule="auto" w:line="360" w:after="120" w:before="0"/>
        <w:jc w:val="both"/>
        <w:bidi w:val="1"/>
      </w:pPr>
      <w:r>
        <w:rPr>
          <w:rFonts w:ascii="David" w:hAnsi="David" w:cs="David" w:eastAsia="David"/>
          <w:b/>
          <w:i w:val="0"/>
          <w:sz w:val="24"/>
          <w:szCs w:val="24"/>
          <w:bCs/>
        </w:rPr>
        <w:t>מקורות ממשיכים.</w:t>
      </w:r>
      <w:r>
        <w:rPr>
          <w:rFonts w:ascii="David" w:hAnsi="David" w:cs="David" w:eastAsia="David"/>
          <w:b w:val="0"/>
          <w:i w:val="0"/>
          <w:sz w:val="24"/>
          <w:szCs w:val="24"/>
        </w:rPr>
        <w:t xml:space="preserve"> הרמב"ם קודד את ההלכה ופירט את ההליך. עבירות שבין אדם לחברו "אינו נמחל לו לעולם עד שיתן לחברו מה שהוא חייב לו וירצהו", ואם הנפגע מסרב, הפוגע "מביא לו שורה של שלושה בני אדם מרעיו ופוגעין בו ומבקשין ממנו", עד שלוש פעמים. אם גם אז הנפגע מסרב, הפוגע פטור, "וזה שלא מחל הוא החוטא" (רמב"ם, הלכות תשובה ב, ט). ההליך ההלכתי מזכיר בפרטיו את המפגש המאחה: פנייה ישירה, מלווים מטעם הפוגע, חזרה על הניסיון, וסיום בהכרעה של הנפגע. בהלכה שלאחריה מוטלת חובה על הנפגע: "אסור לאדם להיות אכזרי ולא יתפייס, אלא יהא נוח לרצות וקשה לכעוס" (רמב"ם, הלכות תשובה ב, י). בהלכות חובל ומזיק מוסיף הרמב"ם שפגיעה בגוף שונה מפגיעה בממון: גם לאחר התשלום "אינו מתכפר לו עד שיבקש מן הנחבל וימחול לו" (רמב"ם, הלכות חובל ומזיק ה, ט). השולחן ערוך קבע את הדברים הלכה למעשה כחלק מההכנה ליום הכיפורים (שולחן ערוך, אורח חיים תרו, א).</w:t>
      </w:r>
    </w:p>
    <w:p>
      <w:pPr>
        <w:spacing w:lineRule="auto" w:line="360" w:after="120" w:before="0"/>
        <w:jc w:val="both"/>
        <w:bidi w:val="1"/>
      </w:pPr>
      <w:r>
        <w:rPr>
          <w:rFonts w:ascii="David" w:hAnsi="David" w:cs="David" w:eastAsia="David"/>
          <w:b w:val="0"/>
          <w:i w:val="0"/>
          <w:sz w:val="24"/>
          <w:szCs w:val="24"/>
        </w:rPr>
        <w:t>התמונה העולה מן המקורות ברורה. היהדות אינה מציעה צדק מאחה במקום ענישה, שהרי דיני החובל והגזלן נשארים בתוקפם, אלא קובעת שהענישה והפיצוי אינם סוף הסיפור. הכפרה השלמה מותנית בשלושה מרכיבים שמערכת המשפט המודרנית אינה דורשת: וידוי אישי, בקשת מחילה ישירה מן הנפגע, ומחילה של הנפגע עצמו. בד בבד היא מטילה על הנפגע אחריות מוסרית משלו: לא לנקום, לא לנטור, ולא להיות אכזרי.</w:t>
      </w:r>
    </w:p>
    <w:p>
      <w:pPr>
        <w:spacing w:lineRule="auto" w:line="360" w:after="120" w:before="240"/>
        <w:jc w:val="right"/>
        <w:bidi w:val="1"/>
      </w:pPr>
      <w:r>
        <w:rPr>
          <w:rFonts w:ascii="David" w:hAnsi="David" w:cs="David" w:eastAsia="David"/>
          <w:b/>
          <w:i w:val="0"/>
          <w:sz w:val="28"/>
          <w:szCs w:val="28"/>
          <w:bCs/>
        </w:rPr>
        <w:t>סעיף ד': אינטגרציה בין פרספקטיבות</w:t>
      </w:r>
    </w:p>
    <w:p>
      <w:pPr>
        <w:spacing w:lineRule="auto" w:line="360" w:after="120" w:before="0"/>
        <w:jc w:val="both"/>
        <w:bidi w:val="1"/>
      </w:pPr>
      <w:r>
        <w:rPr>
          <w:rFonts w:ascii="David" w:hAnsi="David" w:cs="David" w:eastAsia="David"/>
          <w:b w:val="0"/>
          <w:i w:val="0"/>
          <w:sz w:val="24"/>
          <w:szCs w:val="24"/>
        </w:rPr>
        <w:t>הניתוח הקרימינולוגי והפרספקטיבה היהודית משלימים זה את זה ברובד המבני ומתנגשים ברובד הנורמטיבי. ברובד המבני הדמיון בולט: ההבחנה של חז"ל בין עבירות שבין אדם למקום לעבירות שבין אדם לחברו מקבילה להבחנה של צדק מאחה בין הפגיעה במדינה לפגיעה באדם; "שורה של שלושה בני אדם מרעיו" מקבילה לתומכים במפגש הנפגע-פוגע; ודרישת הרמב"ם מבעל התשובה לומר "אני אחר ואיני אותו האיש שעשה אותן המעשים" (רמב"ם, הלכות תשובה ב, ד) היא ניסוח מדויק של המטרה שתיאוריית התיוג מציבה: זהות חדשה במקום עבריינות משנית.</w:t>
      </w:r>
    </w:p>
    <w:p>
      <w:pPr>
        <w:spacing w:lineRule="auto" w:line="360" w:after="120" w:before="0"/>
        <w:jc w:val="both"/>
        <w:bidi w:val="1"/>
      </w:pPr>
      <w:r>
        <w:rPr>
          <w:rFonts w:ascii="David" w:hAnsi="David" w:cs="David" w:eastAsia="David"/>
          <w:b w:val="0"/>
          <w:i w:val="0"/>
          <w:sz w:val="24"/>
          <w:szCs w:val="24"/>
        </w:rPr>
        <w:t>ההבדל הראשון הוא במעמד הטיעון. הקרימינולוגיה תיאורית ואמפירית, והיא בודקת מה ההליך עושה בפועל לנפגעות ולפוגעים (הדר וגל, 2023). היהדות נורמטיבית: היא אינה שואלת אם המפגש עובד אלא קובעת שהוא חובה. ההבדל השני, החריף יותר, נוגע לנפגע. הוויקטימולוגיה הפמיניסטית עומדת על כך שההליך חייב להיות וולונטרי לחלוטין ושהסליחה, אם תבוא, תצמח מתוך הדיאלוג ובקצב של הנפגעת (הדר וגל, 2023; קלר-חלמיש ופלג-קוריאט, 2020). ההלכה, לעומת זאת, מכנה סרבן מחילה "אכזרי". הסתירה מתמתנת כשמבחינים בין הליך לעמדה מוסרית: ההלכה אינה כופה מפגש, מתירה לפוגע להניח לנפגע לאחר שלוש פניות, ומכוונת את תביעתה אל תודעת הנפגע ולא אל בית הדין. תרומת הקרימינולוגיה היא הזהירות, כלומר ידע אמפירי על פערי כוח ועל תנאי ההצלחה של המפגש. תרומת היהדות היא התביעה המוסרית: הפוגע חייב לעמוד מול מי שפגע בו, והנפגע אינו רק מושא להגנה אלא סובייקט מוסרי בעל אחריות.</w:t>
      </w:r>
    </w:p>
    <w:p>
      <w:pPr>
        <w:spacing w:lineRule="auto" w:line="360" w:after="120" w:before="240"/>
        <w:jc w:val="right"/>
        <w:pageBreakBefore/>
        <w:bidi w:val="1"/>
      </w:pPr>
      <w:r>
        <w:rPr>
          <w:rFonts w:ascii="David" w:hAnsi="David" w:cs="David" w:eastAsia="David"/>
          <w:b/>
          <w:i w:val="0"/>
          <w:sz w:val="28"/>
          <w:szCs w:val="28"/>
          <w:bCs/>
        </w:rPr>
        <w:t>רשימת מקורות</w:t>
      </w:r>
    </w:p>
    <w:p>
      <w:pPr>
        <w:spacing w:lineRule="auto" w:line="360" w:after="160" w:before="0"/>
        <w:ind w:left="709" w:hanging="709"/>
        <w:jc w:val="right"/>
        <w:bidi w:val="1"/>
      </w:pPr>
      <w:r>
        <w:rPr>
          <w:rFonts w:ascii="David" w:hAnsi="David" w:cs="David" w:eastAsia="David"/>
          <w:b w:val="0"/>
          <w:i w:val="0"/>
          <w:sz w:val="24"/>
          <w:szCs w:val="24"/>
        </w:rPr>
        <w:t>הדר, נ' וגל, ט' (2023). "הרגשתי איך תופרים לי את הלב": החוויה הרגשית של נפגעות אלימות מינית בעקבות תהליכי צדק מאחה. חברה ורווחה, מג(3), 355-375. https://www.gov.il/BlobFolder/reports/molsa-43-3-nataly-h/he/SocialAndWelfareMagazine_Magazine-43-3_43-3-NATALY-H.pdf</w:t>
      </w:r>
    </w:p>
    <w:p>
      <w:pPr>
        <w:spacing w:lineRule="auto" w:line="360" w:after="160" w:before="0"/>
        <w:ind w:left="709" w:hanging="709"/>
        <w:jc w:val="right"/>
        <w:bidi w:val="1"/>
      </w:pPr>
      <w:r>
        <w:rPr>
          <w:rFonts w:ascii="David" w:hAnsi="David" w:cs="David" w:eastAsia="David"/>
          <w:b w:val="0"/>
          <w:i w:val="0"/>
          <w:sz w:val="24"/>
          <w:szCs w:val="24"/>
        </w:rPr>
        <w:t>לוינשטיין-ברקאי, ה' (2020). המגדר כן קובע? תמיכה חברתית בקורבנות-גברים של פגיעה מינית לעומת תמיכה בקורבנות-נשים ברשתות חברתיות בישראל. מגמות, נה(2), 167-190. https://info2011.szold.org.il/PDF-Articles/megamot/113341.pdf</w:t>
      </w:r>
    </w:p>
    <w:p>
      <w:pPr>
        <w:spacing w:lineRule="auto" w:line="360" w:after="160" w:before="0"/>
        <w:ind w:left="709" w:hanging="709"/>
        <w:jc w:val="right"/>
        <w:bidi w:val="1"/>
      </w:pPr>
      <w:r>
        <w:rPr>
          <w:rFonts w:ascii="David" w:hAnsi="David" w:cs="David" w:eastAsia="David"/>
          <w:b w:val="0"/>
          <w:i w:val="0"/>
          <w:sz w:val="24"/>
          <w:szCs w:val="24"/>
        </w:rPr>
        <w:t>קלר-חלמיש, כ' ופלג-קוריאט, ע' (2020). ממחאה לאיחוי: מחאת #MeToo כרקע לפיתוח ולהנגשה של תהליכי צדק מאחה במקרים של פגיעה מינית. קרימינולוגיה ישראלית, ט, 33-53. https://papers.ssrn.com/sol3/papers.cfm?abstract_id=3901353</w:t>
      </w:r>
    </w:p>
    <w:p>
      <w:pPr>
        <w:spacing w:lineRule="auto" w:line="360" w:after="160" w:before="0"/>
        <w:ind w:left="709" w:hanging="709"/>
        <w:jc w:val="left"/>
        <w:bidi w:val="0"/>
      </w:pPr>
      <w:r>
        <w:rPr>
          <w:rFonts w:ascii="David" w:hAnsi="David" w:cs="David" w:eastAsia="David"/>
          <w:b w:val="0"/>
          <w:i w:val="0"/>
          <w:sz w:val="24"/>
          <w:szCs w:val="24"/>
        </w:rPr>
        <w:t>Bernburg, J. G. (2019). Labeling theory. In M. D. Krohn, N. Hendrix, G. Penly Hall, &amp; A. J. Lizotte (Eds.), Handbook on crime and deviance (2nd ed., pp. 179-196). Springer. https://doi.org/10.1007/978-3-030-20779-3_10</w:t>
      </w:r>
    </w:p>
    <w:p>
      <w:pPr>
        <w:spacing w:lineRule="auto" w:line="360" w:after="160" w:before="0"/>
        <w:ind w:left="709" w:hanging="709"/>
        <w:jc w:val="left"/>
        <w:bidi w:val="0"/>
      </w:pPr>
      <w:r>
        <w:rPr>
          <w:rFonts w:ascii="David" w:hAnsi="David" w:cs="David" w:eastAsia="David"/>
          <w:b w:val="0"/>
          <w:i w:val="0"/>
          <w:sz w:val="24"/>
          <w:szCs w:val="24"/>
        </w:rPr>
        <w:t>Peleg-Koriat, I. (2026). Ethnic differences in support for restorative justice in sexual abuse cases: The role of offense severity and malleability beliefs. Violence Against Women, 32(6-7), 1901-1923. https://doi.org/10.1177/10778012251347588</w:t>
      </w:r>
    </w:p>
    <w:p>
      <w:pPr>
        <w:spacing w:lineRule="auto" w:line="360" w:after="160" w:before="0"/>
        <w:ind w:left="709" w:hanging="709"/>
        <w:jc w:val="left"/>
        <w:bidi w:val="0"/>
      </w:pPr>
      <w:r>
        <w:rPr>
          <w:rFonts w:ascii="David" w:hAnsi="David" w:cs="David" w:eastAsia="David"/>
          <w:b w:val="0"/>
          <w:i w:val="0"/>
          <w:sz w:val="24"/>
          <w:szCs w:val="24"/>
        </w:rPr>
        <w:t>Peleg-Koriat, I., Weimann-Saks, D., Asraf, K., &amp; Halperin, E. (2025). Ethnicity and support for restorative justice: The mediating role of malleability beliefs and attribution bias. Journal of Community &amp; Applied Social Psychology, 35, Article e70117. https://doi.org/10.1002/casp.70117</w:t>
      </w:r>
    </w:p>
    <w:p>
      <w:pPr>
        <w:spacing w:lineRule="auto" w:line="360" w:after="160" w:before="0"/>
        <w:ind w:left="709" w:hanging="709"/>
        <w:jc w:val="left"/>
        <w:bidi w:val="0"/>
      </w:pPr>
      <w:r>
        <w:rPr>
          <w:rFonts w:ascii="David" w:hAnsi="David" w:cs="David" w:eastAsia="David"/>
          <w:b w:val="0"/>
          <w:i w:val="0"/>
          <w:sz w:val="24"/>
          <w:szCs w:val="24"/>
        </w:rPr>
        <w:t>Van Dijk, J. (2020). Victim labeling theory: A reappraisal. In J. Joseph &amp; S. Jergenson (Eds.), An international perspective on contemporary developments in victimology: A festschrift in honor of Marc Groenhuijsen (pp. 73-90). Springer. https://doi.org/10.1007/978-3-030-41622-5_6</w:t>
      </w:r>
    </w:p>
    <w:p>
      <w:pPr>
        <w:spacing w:lineRule="auto" w:line="360" w:after="80" w:before="200"/>
        <w:jc w:val="right"/>
        <w:bidi w:val="1"/>
      </w:pPr>
      <w:r>
        <w:rPr>
          <w:rFonts w:ascii="David" w:hAnsi="David" w:cs="David" w:eastAsia="David"/>
          <w:b/>
          <w:i w:val="0"/>
          <w:sz w:val="24"/>
          <w:szCs w:val="24"/>
          <w:bCs/>
        </w:rPr>
        <w:t>מקורות יהודיים ראשוניים (מצוטטים בגוף העבודה לפי המספור המקובל)</w:t>
      </w:r>
    </w:p>
    <w:p>
      <w:pPr>
        <w:spacing w:lineRule="auto" w:line="360" w:after="120" w:before="0"/>
        <w:ind w:left="709" w:hanging="709"/>
        <w:jc w:val="right"/>
        <w:bidi w:val="1"/>
      </w:pPr>
      <w:r>
        <w:rPr>
          <w:rFonts w:ascii="David" w:hAnsi="David" w:cs="David" w:eastAsia="David"/>
          <w:b w:val="0"/>
          <w:i w:val="0"/>
          <w:sz w:val="24"/>
          <w:szCs w:val="24"/>
        </w:rPr>
        <w:t>בראשית כ, יז. https://www.sefaria.org.il/Genesis.20.17</w:t>
      </w:r>
    </w:p>
    <w:p>
      <w:pPr>
        <w:spacing w:lineRule="auto" w:line="360" w:after="120" w:before="0"/>
        <w:ind w:left="709" w:hanging="709"/>
        <w:jc w:val="right"/>
        <w:bidi w:val="1"/>
      </w:pPr>
      <w:r>
        <w:rPr>
          <w:rFonts w:ascii="David" w:hAnsi="David" w:cs="David" w:eastAsia="David"/>
          <w:b w:val="0"/>
          <w:i w:val="0"/>
          <w:sz w:val="24"/>
          <w:szCs w:val="24"/>
        </w:rPr>
        <w:t>ויקרא יט, יז-יח. https://www.sefaria.org.il/Leviticus.19.17</w:t>
      </w:r>
    </w:p>
    <w:p>
      <w:pPr>
        <w:spacing w:lineRule="auto" w:line="360" w:after="120" w:before="0"/>
        <w:ind w:left="709" w:hanging="709"/>
        <w:jc w:val="right"/>
        <w:bidi w:val="1"/>
      </w:pPr>
      <w:r>
        <w:rPr>
          <w:rFonts w:ascii="David" w:hAnsi="David" w:cs="David" w:eastAsia="David"/>
          <w:b w:val="0"/>
          <w:i w:val="0"/>
          <w:sz w:val="24"/>
          <w:szCs w:val="24"/>
        </w:rPr>
        <w:t>במדבר ה, ז. https://www.sefaria.org.il/Numbers.5.7</w:t>
      </w:r>
    </w:p>
    <w:p>
      <w:pPr>
        <w:spacing w:lineRule="auto" w:line="360" w:after="120" w:before="0"/>
        <w:ind w:left="709" w:hanging="709"/>
        <w:jc w:val="right"/>
        <w:bidi w:val="1"/>
      </w:pPr>
      <w:r>
        <w:rPr>
          <w:rFonts w:ascii="David" w:hAnsi="David" w:cs="David" w:eastAsia="David"/>
          <w:b w:val="0"/>
          <w:i w:val="0"/>
          <w:sz w:val="24"/>
          <w:szCs w:val="24"/>
        </w:rPr>
        <w:t>משנה, יומא ח, ט. https://www.sefaria.org.il/Mishnah_Yoma.8.9</w:t>
      </w:r>
    </w:p>
    <w:p>
      <w:pPr>
        <w:spacing w:lineRule="auto" w:line="360" w:after="120" w:before="0"/>
        <w:ind w:left="709" w:hanging="709"/>
        <w:jc w:val="right"/>
        <w:bidi w:val="1"/>
      </w:pPr>
      <w:r>
        <w:rPr>
          <w:rFonts w:ascii="David" w:hAnsi="David" w:cs="David" w:eastAsia="David"/>
          <w:b w:val="0"/>
          <w:i w:val="0"/>
          <w:sz w:val="24"/>
          <w:szCs w:val="24"/>
        </w:rPr>
        <w:t>משנה, בבא קמא ח, ז. https://www.sefaria.org.il/Mishnah_Bava_Kamma.8.7</w:t>
      </w:r>
    </w:p>
    <w:p>
      <w:pPr>
        <w:spacing w:lineRule="auto" w:line="360" w:after="120" w:before="0"/>
        <w:ind w:left="709" w:hanging="709"/>
        <w:jc w:val="right"/>
        <w:bidi w:val="1"/>
      </w:pPr>
      <w:r>
        <w:rPr>
          <w:rFonts w:ascii="David" w:hAnsi="David" w:cs="David" w:eastAsia="David"/>
          <w:b w:val="0"/>
          <w:i w:val="0"/>
          <w:sz w:val="24"/>
          <w:szCs w:val="24"/>
        </w:rPr>
        <w:t>תלמוד בבלי, בבא קמא צב ע"א. https://www.sefaria.org.il/Bava_Kamma.92a</w:t>
      </w:r>
    </w:p>
    <w:p>
      <w:pPr>
        <w:spacing w:lineRule="auto" w:line="360" w:after="120" w:before="0"/>
        <w:ind w:left="709" w:hanging="709"/>
        <w:jc w:val="right"/>
        <w:bidi w:val="1"/>
      </w:pPr>
      <w:r>
        <w:rPr>
          <w:rFonts w:ascii="David" w:hAnsi="David" w:cs="David" w:eastAsia="David"/>
          <w:b w:val="0"/>
          <w:i w:val="0"/>
          <w:sz w:val="24"/>
          <w:szCs w:val="24"/>
        </w:rPr>
        <w:t>רמב"ם, משנה תורה, הלכות תשובה ב, ד; ב, ט-י. https://www.sefaria.org.il/Mishneh_Torah,_Repentance.2</w:t>
      </w:r>
    </w:p>
    <w:p>
      <w:pPr>
        <w:spacing w:lineRule="auto" w:line="360" w:after="120" w:before="0"/>
        <w:ind w:left="709" w:hanging="709"/>
        <w:jc w:val="right"/>
        <w:bidi w:val="1"/>
      </w:pPr>
      <w:r>
        <w:rPr>
          <w:rFonts w:ascii="David" w:hAnsi="David" w:cs="David" w:eastAsia="David"/>
          <w:b w:val="0"/>
          <w:i w:val="0"/>
          <w:sz w:val="24"/>
          <w:szCs w:val="24"/>
        </w:rPr>
        <w:t>רמב"ם, משנה תורה, הלכות חובל ומזיק ה, ט. https://www.sefaria.org.il/Mishneh_Torah,_One_Who_Injures_a_Person_or_Property.5.9</w:t>
      </w:r>
    </w:p>
    <w:p>
      <w:pPr>
        <w:spacing w:lineRule="auto" w:line="360" w:after="120" w:before="0"/>
        <w:ind w:left="709" w:hanging="709"/>
        <w:jc w:val="right"/>
        <w:bidi w:val="1"/>
      </w:pPr>
      <w:r>
        <w:rPr>
          <w:rFonts w:ascii="David" w:hAnsi="David" w:cs="David" w:eastAsia="David"/>
          <w:b w:val="0"/>
          <w:i w:val="0"/>
          <w:sz w:val="24"/>
          <w:szCs w:val="24"/>
        </w:rPr>
        <w:t>שולחן ערוך, אורח חיים, סימן תרו, סעיף א. https://www.sefaria.org.il/Shulchan_Arukh,_Orach_Chayim.606.1</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cs="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