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047750"/>
                    </a:xfrm>
                    <a:prstGeom prst="rect">
                      <a:avLst/>
                    </a:prstGeom>
                  </pic:spPr>
                </pic:pic>
              </a:graphicData>
            </a:graphic>
          </wp:inline>
        </w:drawing>
      </w: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בזמנים קשים. אנשים בעלי חוללות גבוהה נוטים להתמיד ולהשקיע מאמץ רב יותר, בעוד שאנשים בעלי חוללות נמוכה עלולים להימנע ממשימות שהם חשים שאינם מסוגלים לבצע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מרכזיים, הנבדלים זה מזה בעוצמת השפעתם. המקור הראשון והחזק ביותר הוא חוויות שליטה (mastery experiences), כלומר התנסויות ישירות של הצלחה בביצוע משימות. חוויות אלה משפיעות יותר מכל מקור אחר משום שהן מספקות לאדם עדות אותנטית ובלתי-אמצעית ליכולתו: הצלחות חוזרות מבססות אמונה יציבה במסוגלות, בעוד שכישלונות, בעיקר כשהם מתרחשים בטרם התגבשה תחושת מסוגלות מוצקה, עלולים לערער אותה. עם זאת, ההשפעה אינה אוטומטית, והיא תלויה באופן שבו האדם מפרש את ההצלחה ומייחס אותה למאמצו ולכישוריו (Bandura, 1997;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שלושת המקורות הנוספים תורמים אף הם, אך במידה פחותה. חוויות עקיפות (vicarious experiences) נוצרות מהתבוננות באחרים המבצעים משימה בהצלחה, והשפעתן תלויה במידת הדמיון הנתפס בין הצופה למודל: ככל שהמודל נתפס דומה יותר לצופה מבחינת יכולת ורקע, כך גוברת השפעתו על אמונת המסוגלות. שכנוע מילולי, בדמות עידוד ומשוב מהסביבה, יכול לחזק זמנית את תחושת המסוגלות, אך השפעתו מוגבלת כאשר אינה נתמכת בהתנסות ממשית. לבסוף, מצבים גופניים ורגשיים, והפרשנות שאדם נותן להם, משמשים גם הם מקור מידע לגבי יכולתו, כך שעוררות המתפרשת כמתח עלולה להחליש את תחושת המסוגלות ואילו עוררות המתפרשת כמוכנות עשויה לחזקה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המשיכו לתמוך בתוקף ובמהימנות של הכלי. כך, תיקוף עדכני של הגרסה האיטלקית של ה-NGSE, שנערך על 811 משתתפים, אישר מבנה חד-גורמי, התאמה טובה של המודל לנתונים ומהימנות גבוהה, וחיזק את יישום השאלון בשפות ובתרבויות שונות (Rossi et al., 2025).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המשתנה הבלתי-תלוי במחקר הוא סוג מקור החוללות, בעל שלוש רמות (חוויית שליטה, חשיפה עקיפה וביקורת), והמשתנה התלוי הוא תחושת המסוגלות, שנמדדה בשני מדדים: חוללות עצמית כללית (NGSE) ותחושת המסוגלות של המורה (TSES).</w:t>
      </w:r>
    </w:p>
    <w:p>
      <w:pPr>
        <w:bidi/>
        <w:spacing w:after="80" w:before="0" w:line="360"/>
        <w:jc w:val="both"/>
      </w:pPr>
      <w:r>
        <w:rPr>
          <w:rFonts w:ascii="David" w:cs="David" w:eastAsia="David" w:hAnsi="David"/>
          <w:b w:val="false"/>
          <w:bCs w:val="false"/>
          <w:i w:val="false"/>
          <w:iCs w:val="false"/>
          <w:color w:val="000000"/>
          <w:sz w:val="24"/>
          <w:szCs w:val="24"/>
          <w:rtl/>
        </w:rPr>
        <w:t xml:space="preserve">על סמך הרקע התיאורטי, ובעיקר טענתו של בנדורה כי חוויות שליטה הן המקור החזק ביותר לחוללות עצמית, נוסחו ארבע השערות. שלוש הראשונות מתייחסות לשני מדדי המסוגלות (חוללות עצמית כללית ותחושת המסוגלות של המורה) כאחד:</w:t>
      </w:r>
    </w:p>
    <w:p>
      <w:pPr>
        <w:bidi/>
        <w:spacing w:after="160" w:before="0" w:line="360"/>
        <w:jc w:val="both"/>
      </w:pPr>
      <w:r>
        <w:rPr>
          <w:rFonts w:ascii="David" w:cs="David" w:eastAsia="David" w:hAnsi="David"/>
          <w:b/>
          <w:bCs/>
          <w:i w:val="false"/>
          <w:iCs w:val="false"/>
          <w:color w:val="000000"/>
          <w:sz w:val="24"/>
          <w:szCs w:val="24"/>
          <w:rtl/>
        </w:rPr>
        <w:t xml:space="preserve">השערה 1: </w:t>
      </w:r>
      <w:r>
        <w:rPr>
          <w:rFonts w:ascii="David" w:cs="David" w:eastAsia="David" w:hAnsi="David"/>
          <w:b w:val="false"/>
          <w:bCs w:val="false"/>
          <w:i w:val="false"/>
          <w:iCs w:val="false"/>
          <w:color w:val="000000"/>
          <w:sz w:val="24"/>
          <w:szCs w:val="24"/>
          <w:rtl/>
        </w:rPr>
        <w:t xml:space="preserve">קבוצת חוויית השליטה תדווח על מסוגלות גבוהה יותר מקבוצת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2: </w:t>
      </w:r>
      <w:r>
        <w:rPr>
          <w:rFonts w:ascii="David" w:cs="David" w:eastAsia="David" w:hAnsi="David"/>
          <w:b w:val="false"/>
          <w:bCs w:val="false"/>
          <w:i w:val="false"/>
          <w:iCs w:val="false"/>
          <w:color w:val="000000"/>
          <w:sz w:val="24"/>
          <w:szCs w:val="24"/>
          <w:rtl/>
        </w:rPr>
        <w:t xml:space="preserve">קבוצת החשיפה העקיפה תדווח על מסוגלות גבוהה יותר מקבוצת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3: </w:t>
      </w:r>
      <w:r>
        <w:rPr>
          <w:rFonts w:ascii="David" w:cs="David" w:eastAsia="David" w:hAnsi="David"/>
          <w:b w:val="false"/>
          <w:bCs w:val="false"/>
          <w:i w:val="false"/>
          <w:iCs w:val="false"/>
          <w:color w:val="000000"/>
          <w:sz w:val="24"/>
          <w:szCs w:val="24"/>
          <w:rtl/>
        </w:rPr>
        <w:t xml:space="preserve">קבוצת חוויית השליטה תדווח על מסוגלות גבוהה יותר מקבוצת החשיפה העקיפה.</w:t>
      </w:r>
    </w:p>
    <w:p>
      <w:pPr>
        <w:bidi/>
        <w:spacing w:after="160" w:before="0" w:line="360"/>
        <w:jc w:val="both"/>
      </w:pPr>
      <w:r>
        <w:rPr>
          <w:rFonts w:ascii="David" w:cs="David" w:eastAsia="David" w:hAnsi="David"/>
          <w:b/>
          <w:bCs/>
          <w:i w:val="false"/>
          <w:iCs w:val="false"/>
          <w:color w:val="000000"/>
          <w:sz w:val="24"/>
          <w:szCs w:val="24"/>
          <w:rtl/>
        </w:rPr>
        <w:t xml:space="preserve">השערה 4: </w:t>
      </w:r>
      <w:r>
        <w:rPr>
          <w:rFonts w:ascii="David" w:cs="David" w:eastAsia="David" w:hAnsi="David"/>
          <w:b w:val="false"/>
          <w:bCs w:val="false"/>
          <w:i w:val="false"/>
          <w:iCs w:val="false"/>
          <w:color w:val="000000"/>
          <w:sz w:val="24"/>
          <w:szCs w:val="24"/>
          <w:rtl/>
        </w:rPr>
        <w:t xml:space="preserve">יימצא מתאם חיובי בין שני מדדי המסוגלות, כך שככל שהחוללות העצמית הכללית גבוהה יותר, כך תהיה גבוהה יותר גם תחושת המסוגלות של המורה.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עוצבה על בסיס מקורות החוללות של בנדורה (1997), ובפרט חוויות השליטה והחוויות העקיפות, וכן על בסיס פרדיגמת ההיזכרות בהצלחה (recall success) שנחקרה כאמצעי להעלאת ציפיות להצלחה. יש לציין כי השפעת ההיזכרות אינה אוטומטית ונמצאה תלויה בגורמים כמו קלות שליפת ההצלחה וייחוסה לגורמים יציבים (Abdulla &amp; Woods, 2025).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תמונת הממצאים חלקית. בשני המדדים אוששה השערה 1, שכן קבוצת חוויית השליטה דיווחה על מסוגלות גבוהה יותר מקבוצת הביקורת באופן מובהק. לעומת זאת, השערות 2 ו-3 לא אוששו: קבוצת החשיפה העקיפה נמצאה בתווך אך לא נבדלה מהביקורת באופן מובהק, וגם ההפרש בינה לבין חוויית השליטה לא הגיע למובהקות. השערה 4 אוששה, ונמצא מתאם חיובי בינוני-גבוה בין שני מדדי המסוגלות.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המרכזי, שלפיו היזכרות בהצלחה אישית העלתה את תחושת המסוגלות בשני המדדים, עולה בקנה אחד עם הטענה של בנדורה שחוויות שליטה הן המקור החזק ביותר לחוללות עצמית (Bandura, 1997). מעניין במיוחד שדי היה במשימת כתיבה קצרה, בת כארבע דקות, כדי להזיז את תחושת המסוגלות. עובדה זו ממחישה את הפלסטיות של המשתנה ותומכת בתפיסה הרואה בחוללות לא רק תכונה יציבה אלא גם מצב הניתן לשינוי. התוצאה מתחברת גם לספרות המדגישה את מרכזיות המסוגלות במוטיבציה ובהישגים: אם התערבות פשוטה יכולה להעלות את תחושת המסוגלות, ומסוגלות זו מנבאת מאמץ, התמדה והישגים (שאנק, 2001; Basileo et al., 2024), הרי שיש כאן מנוף פוטנציאלי לקידום לומדים.</w:t>
      </w:r>
    </w:p>
    <w:p>
      <w:pPr>
        <w:bidi/>
        <w:spacing w:after="160" w:before="0" w:line="360"/>
        <w:jc w:val="both"/>
      </w:pPr>
      <w:r>
        <w:rPr>
          <w:rFonts w:ascii="David" w:cs="David" w:eastAsia="David" w:hAnsi="David"/>
          <w:b w:val="false"/>
          <w:bCs w:val="false"/>
          <w:i w:val="false"/>
          <w:iCs w:val="false"/>
          <w:color w:val="000000"/>
          <w:sz w:val="24"/>
          <w:szCs w:val="24"/>
          <w:rtl/>
        </w:rPr>
        <w:t xml:space="preserve">ממצא שראוי לתשומת לב מיוחדת הוא הפער בין שני מדדי המסוגלות. האינדוקציה השפיעה חזק יותר על החוללות העצמית הכללית מאשר על תחושת המסוגלות של המורה. הסבר אפשרי נעוץ בהבחנה בין מסוגלות כללית לבין מסוגלות ספציפית לתחום. תחושת המסוגלות של המורה נשענת במידה רבה על התנסות ממשית בהוראה, מקור שסטודנטים בתחילת הכשרתם עדיין חסרים, ולכן ייתכן שהיא מעוגנת יותר ופחות רגישה לאינדוקציה קצרה וכללית (Tschannen-Moran &amp; Woolfolk Hoy, 2001). עם זאת, המתאם החיובי הבינוני-גבוה שנמצא בין שני המדדים (השערה 4) תומך בכך שחיזוק המסוגלות הכללית עשוי לתרום, ולו בעקיפין, גם לתחושת המסוגלות בהקשר ההוראה, מה שמחזק את הרלוונטיות של התערבויות כלליות לאוכלוסיית המורים לעתיד.</w:t>
      </w:r>
    </w:p>
    <w:p>
      <w:pPr>
        <w:bidi/>
        <w:spacing w:after="160" w:before="0" w:line="360"/>
        <w:jc w:val="both"/>
      </w:pPr>
      <w:r>
        <w:rPr>
          <w:rFonts w:ascii="David" w:cs="David" w:eastAsia="David" w:hAnsi="David"/>
          <w:b w:val="false"/>
          <w:bCs w:val="false"/>
          <w:i w:val="false"/>
          <w:iCs w:val="false"/>
          <w:color w:val="000000"/>
          <w:sz w:val="24"/>
          <w:szCs w:val="24"/>
          <w:rtl/>
        </w:rPr>
        <w:t xml:space="preserve">לעומת חוויית השליטה, החשיפה העקיפה לא הניבה אפקט מובהק, וגם לכך כמה הסברים אפשריים. ראשית, לפי בנדורה (Bandura, 1997), עוצמת ההשפעה של מודל תלויה במידת הדמיון הנתפס בינו לבין הצופה, וייתכן שעדות כתובה של עמית אנונימי לא יצרה תחושת דמיון מספקת. שנית, קריאת טקסט קצר עשויה להיות פחות משכנעת מהתבוננות במודל חי המבצע משימה בפועל, שכן היא חסרה את הפן החזותי והרגשי של ההתבוננות. שלישית, ייתכן שחשיפה חד-פעמית ובמינון נמוך אינה מספיקה כדי לחולל שינוי, וכי נדרשת חשיפה חוזרת או אינטנסיבית יותר.</w:t>
      </w:r>
    </w:p>
    <w:p>
      <w:pPr>
        <w:bidi/>
        <w:spacing w:after="160" w:before="0" w:line="360"/>
        <w:jc w:val="both"/>
      </w:pPr>
      <w:r>
        <w:rPr>
          <w:rFonts w:ascii="David" w:cs="David" w:eastAsia="David" w:hAnsi="David"/>
          <w:b w:val="false"/>
          <w:bCs w:val="false"/>
          <w:i w:val="false"/>
          <w:iCs w:val="false"/>
          <w:color w:val="000000"/>
          <w:sz w:val="24"/>
          <w:szCs w:val="24"/>
          <w:rtl/>
        </w:rPr>
        <w:t xml:space="preserve">חשוב לציין שגם השפעתה של ההיזכרות בהצלחה אינה מובטחת. עבודתם של אבדולה ווודס (Abdulla &amp; Woods, 2025) מראה כי אפקט ההיזכרות על הציפיות תלוי בקלות שבה נשלפת ההצלחה מהזיכרון ובאופן שבו היא מיוחסת, ולכן ייתכן שחלק מהמשתתפים בתנאי חוויית השליטה הפיקו מהמניפולציה יותר מאחרים. אפשר שמי שהתקשה לשלוף דוגמה משמעותית להצלחה, או ייחס אותה לגורם חיצוני וחולף, נהנה פחות מהמניפולציה. נקודה זו מדגישה עד כמה חשוב לשלב במחקרי המשך מבחן מניפולציה ומדדים לתהליכים המתווכים.</w:t>
      </w:r>
    </w:p>
    <w:p>
      <w:pPr>
        <w:bidi/>
        <w:spacing w:after="160" w:before="0" w:line="360"/>
        <w:jc w:val="both"/>
      </w:pPr>
      <w:r>
        <w:rPr>
          <w:rFonts w:ascii="David" w:cs="David" w:eastAsia="David" w:hAnsi="David"/>
          <w:b/>
          <w:bCs/>
          <w:i w:val="false"/>
          <w:iCs w:val="false"/>
          <w:color w:val="000000"/>
          <w:sz w:val="24"/>
          <w:szCs w:val="24"/>
          <w:rtl/>
        </w:rPr>
        <w:t xml:space="preserve">השלכות יישומיות. </w:t>
      </w:r>
      <w:r>
        <w:rPr>
          <w:rFonts w:ascii="David" w:cs="David" w:eastAsia="David" w:hAnsi="David"/>
          <w:b w:val="false"/>
          <w:bCs w:val="false"/>
          <w:i w:val="false"/>
          <w:iCs w:val="false"/>
          <w:color w:val="000000"/>
          <w:sz w:val="24"/>
          <w:szCs w:val="24"/>
          <w:rtl/>
        </w:rPr>
        <w:t xml:space="preserve">מבחינה יישומית, הממצאים מצביעים על כך שאף התערבות קצרה, פשוטה וחסכונית במשאבים יכולה להעלות את תחושת המסוגלות של סטודנטים בהכשרה להוראה. שילוב של תרגילי היזכרות בהצלחות אישיות בתוך תוכניות ההכשרה, למשל לפני התנסות מעשית או לפני מטלה מאתגרת, עשוי לתמוך במוטיבציה, בהתמדה ובתחושת המוכנות של המתכשרים. מכיוון שתחושת המסוגלות של מורים נקשרה בספרות למחויבות למקצוע, להכלה ולהתמודדות עם שחיקה, חיזוקה כבר בשלב ההכשרה נושא ערך מעשי לטווח הארוך.</w:t>
      </w:r>
    </w:p>
    <w:p>
      <w:pPr>
        <w:bidi/>
        <w:spacing w:after="160" w:before="0" w:line="360"/>
        <w:jc w:val="both"/>
      </w:pPr>
      <w:r>
        <w:rPr>
          <w:rFonts w:ascii="David" w:cs="David" w:eastAsia="David" w:hAnsi="David"/>
          <w:b/>
          <w:bCs/>
          <w:i w:val="false"/>
          <w:iCs w:val="false"/>
          <w:color w:val="000000"/>
          <w:sz w:val="24"/>
          <w:szCs w:val="24"/>
          <w:rtl/>
        </w:rPr>
        <w:t xml:space="preserve">מגבלות המחקר. </w:t>
      </w:r>
      <w:r>
        <w:rPr>
          <w:rFonts w:ascii="David" w:cs="David" w:eastAsia="David" w:hAnsi="David"/>
          <w:b w:val="false"/>
          <w:bCs w:val="false"/>
          <w:i w:val="false"/>
          <w:iCs w:val="false"/>
          <w:color w:val="000000"/>
          <w:sz w:val="24"/>
          <w:szCs w:val="24"/>
          <w:rtl/>
        </w:rPr>
        <w:t xml:space="preserve">לצד תרומותיו, למחקר כמה מגבלות. ראשית, מדובר במדגם נוחות קטן (N=33) המורכב מסטודנטים בהכשרה להוראה בלבד, ולכן ההכללה לאוכלוסייה הרחבה מוגבלת והעוצמה הסטטיסטית לזהות אפקטים בינוניים נמוכה. שנית, המחקר נשען על דיווח עצמי, החשוף להטיית רצייה חברתית ולמודעות המשתתף למטרת המשימה. שלישית, לא נמדדה רמת המסוגלות לפני המניפולציה, כך שההשוואה בין-נבדקית בלבד, וייתכן שהבדלים אישיים קודמים תרמו לשונות. רביעית, לא נכלל מבחן מניפולציה שיוודא שהמשימות אכן הפעילו את התהליכים המיועדים. לבסוף, נמדדה השפעה מיידית ומצבית בלבד, ואין בה כדי ללמד על שינוי יציב לאורך זמן.</w:t>
      </w:r>
    </w:p>
    <w:p>
      <w:pPr>
        <w:bidi/>
        <w:spacing w:after="160" w:before="0" w:line="360"/>
        <w:jc w:val="both"/>
      </w:pPr>
      <w:r>
        <w:rPr>
          <w:rFonts w:ascii="David" w:cs="David" w:eastAsia="David" w:hAnsi="David"/>
          <w:b/>
          <w:bCs/>
          <w:i w:val="false"/>
          <w:iCs w:val="false"/>
          <w:color w:val="000000"/>
          <w:sz w:val="24"/>
          <w:szCs w:val="24"/>
          <w:rtl/>
        </w:rPr>
        <w:t xml:space="preserve">הצעות למחקר עתידי. </w:t>
      </w:r>
      <w:r>
        <w:rPr>
          <w:rFonts w:ascii="David" w:cs="David" w:eastAsia="David" w:hAnsi="David"/>
          <w:b w:val="false"/>
          <w:bCs w:val="false"/>
          <w:i w:val="false"/>
          <w:iCs w:val="false"/>
          <w:color w:val="000000"/>
          <w:sz w:val="24"/>
          <w:szCs w:val="24"/>
          <w:rtl/>
        </w:rPr>
        <w:t xml:space="preserve">מחקרי המשך יוכלו להגדיל ולגוון את המדגם, ולהוסיף מדידת בסיס ותכנון עם מדידות חוזרות שיאפשר לאמוד את השינוי ברמת הפרט. כדאי לחזק את מניפולציית החשיפה העקיפה, למשל באמצעות מודל וידאו חי או מודל דומה למשתתף מבחינת גיל ורקע, ולהוסיף מבחן מניפולציה וכן מדדים לקלות השליפה ולייחוסים. כיוון נוסף הוא לבחון את עמידות האפקט לאורך זמן באמצעות מדידות חוזרות לאחר יום, שבוע וחודש, ולבדוק אם שילוב של היזכרות בהצלחה עם התנסות מעשית מייצר אפקט חזק ויציב יותר.</w:t>
      </w:r>
    </w:p>
    <w:p>
      <w:pPr>
        <w:bidi/>
        <w:spacing w:after="160" w:before="0" w:line="360"/>
        <w:jc w:val="both"/>
      </w:pPr>
      <w:r>
        <w:rPr>
          <w:rFonts w:ascii="David" w:cs="David" w:eastAsia="David" w:hAnsi="David"/>
          <w:b/>
          <w:bCs/>
          <w:i w:val="false"/>
          <w:iCs w:val="false"/>
          <w:color w:val="000000"/>
          <w:sz w:val="24"/>
          <w:szCs w:val="24"/>
          <w:rtl/>
        </w:rPr>
        <w:t xml:space="preserve">סיכום. </w:t>
      </w:r>
      <w:r>
        <w:rPr>
          <w:rFonts w:ascii="David" w:cs="David" w:eastAsia="David" w:hAnsi="David"/>
          <w:b w:val="false"/>
          <w:bCs w:val="false"/>
          <w:i w:val="false"/>
          <w:iCs w:val="false"/>
          <w:color w:val="000000"/>
          <w:sz w:val="24"/>
          <w:szCs w:val="24"/>
          <w:rtl/>
        </w:rPr>
        <w:t xml:space="preserve">המחקר ממחיש שאינדוקציה קצרה של חוויית שליטה, בדמות היזכרות בהצלחה אישית, מעלה את תחושת המסוגלות של סטודנטים בהכשרה להוראה, בעוד שחשיפה עקיפה קצרה בדמות עדות כתובה לא הניבה אפקט מובהק. הממצאים תומכים בבכורתן של חוויות השליטה כמקור לחוללות עצמית, ומדגישים את הפוטנציאל הטמון בהתערבויות פשוטות לחיזוק תחושת המסוגלות, לצד הצורך במחקר גדול ומבוקר יותר שיבחן את עמידות האפקט ואת התהליכים שבבסיסו.</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sz w:val="24"/>
          <w:szCs w:val="24"/>
        </w:rPr>
        <w:t xml:space="preserve">Psychological Research, 89</w:t>
      </w:r>
      <w:r>
        <w:rPr>
          <w:rFonts w:ascii="David" w:cs="David" w:eastAsia="David" w:hAnsi="David"/>
          <w:i w:val="false"/>
          <w:iCs w:val="false"/>
          <w:sz w:val="24"/>
          <w:szCs w:val="24"/>
        </w:rPr>
        <w:t xml:space="preserve">, Article 117. https://doi.org/10.1007/s00426-025-02136-x</w:t>
      </w:r>
    </w:p>
    <w:p>
      <w:pPr>
        <w:spacing w:after="140" w:line="360"/>
        <w:ind w:left="720" w:hanging="720"/>
        <w:jc w:val="left"/>
      </w:pPr>
      <w:r>
        <w:rPr>
          <w:rFonts w:ascii="David" w:cs="David" w:eastAsia="David" w:hAnsi="David"/>
          <w:i w:val="false"/>
          <w:iCs w:val="false"/>
          <w:sz w:val="24"/>
          <w:szCs w:val="24"/>
        </w:rPr>
        <w:t xml:space="preserve">Artino, A. R. (2012). Academic self-efficacy: From educational theory to instructional practice. </w:t>
      </w:r>
      <w:r>
        <w:rPr>
          <w:rFonts w:ascii="David" w:cs="David" w:eastAsia="David" w:hAnsi="David"/>
          <w:i/>
          <w:iCs/>
          <w:sz w:val="24"/>
          <w:szCs w:val="24"/>
        </w:rPr>
        <w:t xml:space="preserve">Perspectives on Medical Education, 1</w:t>
      </w:r>
      <w:r>
        <w:rPr>
          <w:rFonts w:ascii="David" w:cs="David" w:eastAsia="David" w:hAnsi="David"/>
          <w:i w:val="false"/>
          <w:iCs w:val="false"/>
          <w:sz w:val="24"/>
          <w:szCs w:val="24"/>
        </w:rPr>
        <w:t xml:space="preserve">(2), 76-85. https://doi.org/10.1007/s40037-012-0012-5</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Rossi, A. A., Mannarini, S., Taccini, F., Castelnuovo, G., &amp; Pietrabissa, G. (2025). The Italian version of the New General Self-Efficacy Scale (NGSES): Structural validity, psychometric properties, and measurement invariance. </w:t>
      </w:r>
      <w:r>
        <w:rPr>
          <w:rFonts w:ascii="David" w:cs="David" w:eastAsia="David" w:hAnsi="David"/>
          <w:i/>
          <w:iCs/>
          <w:sz w:val="24"/>
          <w:szCs w:val="24"/>
        </w:rPr>
        <w:t xml:space="preserve">Journal of Clinical Medicine, 14</w:t>
      </w:r>
      <w:r>
        <w:rPr>
          <w:rFonts w:ascii="David" w:cs="David" w:eastAsia="David" w:hAnsi="David"/>
          <w:i w:val="false"/>
          <w:iCs w:val="false"/>
          <w:sz w:val="24"/>
          <w:szCs w:val="24"/>
        </w:rPr>
        <w:t xml:space="preserve">(6), 1988. https://doi.org/10.3390/jcm14061988</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נשען גם על פרדיגמת ההיזכרות בהצלחה, שנחקרה כאמצעי להעלאת ציפיות להצלחה, אם כי השפעתה נמצאה מותנית בקלות השליפה ובאופן ייחוס ההצלחה (Abdulla &amp; Woods, 2025).</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113a59162631ed6d7541b1a7ea512e480c5249c.jpg"/><Relationship Id="rId9" Type="http://schemas.openxmlformats.org/officeDocument/2006/relationships/image" Target="media/c901c12da345ee0631c5753ee5dd0f978deb4d6d.png"/><Relationship Id="rId10" Type="http://schemas.openxmlformats.org/officeDocument/2006/relationships/image" Target="media/5dc292dbc3b63c0dd2ef34a8ab8d82eee1fd8a7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2026-07-27T10:56:02.920Z</dcterms:created>
  <dcterms:modified xsi:type="dcterms:W3CDTF">2026-07-27T10:56:02.922Z</dcterms:modified>
</cp:coreProperties>
</file>

<file path=docProps/custom.xml><?xml version="1.0" encoding="utf-8"?>
<Properties xmlns="http://schemas.openxmlformats.org/officeDocument/2006/custom-properties" xmlns:vt="http://schemas.openxmlformats.org/officeDocument/2006/docPropsVTypes"/>
</file>