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60" w:lineRule="auto"/>
        <w:jc w:val="center"/>
      </w:pPr>
      <w:r>
        <w:rPr>
          <w:rFonts w:ascii="Times New Roman" w:cs="David" w:eastAsia="David" w:hAnsi="Times New Roman"/>
          <w:b/>
          <w:bCs/>
          <w:i w:val="false"/>
          <w:sz w:val="30"/>
          <w:szCs w:val="30"/>
          <w:rtl/>
        </w:rPr>
        <w:t xml:space="preserve">המסלול האקדמי המכללה למינהל</w:t>
      </w:r>
    </w:p>
    <w:p>
      <w:pPr>
        <w:bidi/>
        <w:spacing w:after="480" w:before="0" w:line="360" w:lineRule="auto"/>
        <w:jc w:val="center"/>
      </w:pPr>
      <w:r>
        <w:rPr>
          <w:rFonts w:ascii="Times New Roman" w:cs="David" w:eastAsia="David" w:hAnsi="Times New Roman"/>
          <w:b/>
          <w:bCs/>
          <w:i w:val="false"/>
          <w:sz w:val="28"/>
          <w:szCs w:val="28"/>
          <w:rtl/>
        </w:rPr>
        <w:t xml:space="preserve">בית הספר לתקשורת</w:t>
      </w:r>
    </w:p>
    <w:p>
      <w:pPr>
        <w:bidi/>
        <w:spacing w:after="60" w:before="0" w:line="360" w:lineRule="auto"/>
        <w:jc w:val="center"/>
      </w:pPr>
      <w:r>
        <w:rPr>
          <w:rFonts w:ascii="Times New Roman" w:cs="David" w:eastAsia="David" w:hAnsi="Times New Roman"/>
          <w:b w:val="false"/>
          <w:i w:val="false"/>
          <w:sz w:val="26"/>
          <w:szCs w:val="26"/>
          <w:rtl/>
        </w:rPr>
        <w:t xml:space="preserve">עבודה מסכמת בקורס:</w:t>
      </w:r>
    </w:p>
    <w:p>
      <w:pPr>
        <w:bidi/>
        <w:spacing w:after="60" w:before="0" w:line="360" w:lineRule="auto"/>
        <w:jc w:val="center"/>
      </w:pPr>
      <w:r>
        <w:rPr>
          <w:rFonts w:ascii="Times New Roman" w:cs="David" w:eastAsia="David" w:hAnsi="Times New Roman"/>
          <w:b/>
          <w:bCs/>
          <w:i w:val="false"/>
          <w:sz w:val="28"/>
          <w:szCs w:val="28"/>
          <w:rtl/>
        </w:rPr>
        <w:t xml:space="preserve">קריאה וכתיבה אקדמית ב'</w:t>
      </w:r>
    </w:p>
    <w:p>
      <w:pPr>
        <w:bidi/>
        <w:spacing w:after="300" w:before="0" w:line="360" w:lineRule="auto"/>
        <w:jc w:val="center"/>
      </w:pPr>
      <w:r>
        <w:rPr>
          <w:rFonts w:ascii="Times New Roman" w:cs="David" w:eastAsia="David" w:hAnsi="Times New Roman"/>
          <w:b w:val="false"/>
          <w:i w:val="false"/>
          <w:sz w:val="24"/>
          <w:szCs w:val="24"/>
          <w:rtl/>
        </w:rPr>
        <w:t xml:space="preserve">קוד קורס: 411042, סמסטר ב', תשפ"ו</w:t>
      </w:r>
    </w:p>
    <w:p>
      <w:pPr>
        <w:bidi/>
        <w:spacing w:after="360" w:before="0" w:line="360" w:lineRule="auto"/>
        <w:jc w:val="center"/>
      </w:pPr>
      <w:r>
        <w:rPr>
          <w:rFonts w:ascii="Times New Roman" w:cs="David" w:eastAsia="David" w:hAnsi="Times New Roman"/>
          <w:b/>
          <w:bCs/>
          <w:i w:val="false"/>
          <w:sz w:val="32"/>
          <w:szCs w:val="32"/>
          <w:rtl/>
        </w:rPr>
        <w:t xml:space="preserve">תשתית לראש פרק בסקירת הספרות של עבודת הסמינריון</w:t>
      </w:r>
    </w:p>
    <w:p>
      <w:pPr>
        <w:bidi/>
        <w:spacing w:after="60" w:before="0" w:line="360" w:lineRule="auto"/>
        <w:jc w:val="center"/>
      </w:pPr>
      <w:r>
        <w:rPr>
          <w:rFonts w:ascii="Times New Roman" w:cs="David" w:eastAsia="David" w:hAnsi="Times New Roman"/>
          <w:b w:val="false"/>
          <w:i w:val="false"/>
          <w:sz w:val="26"/>
          <w:szCs w:val="26"/>
          <w:rtl/>
        </w:rPr>
        <w:t xml:space="preserve">מרצה: ______________</w:t>
      </w:r>
    </w:p>
    <w:p>
      <w:pPr>
        <w:bidi/>
        <w:spacing w:after="60" w:before="0" w:line="360" w:lineRule="auto"/>
        <w:jc w:val="center"/>
      </w:pPr>
      <w:r>
        <w:rPr>
          <w:rFonts w:ascii="Times New Roman" w:cs="David" w:eastAsia="David" w:hAnsi="Times New Roman"/>
          <w:b/>
          <w:bCs/>
          <w:i w:val="false"/>
          <w:sz w:val="26"/>
          <w:szCs w:val="26"/>
          <w:rtl/>
        </w:rPr>
        <w:t xml:space="preserve">מגישה: ליני ______________</w:t>
      </w:r>
    </w:p>
    <w:p>
      <w:pPr>
        <w:bidi/>
        <w:spacing w:after="480" w:before="0" w:line="360" w:lineRule="auto"/>
        <w:jc w:val="center"/>
      </w:pPr>
      <w:r>
        <w:rPr>
          <w:rFonts w:ascii="Times New Roman" w:cs="David" w:eastAsia="David" w:hAnsi="Times New Roman"/>
          <w:b w:val="false"/>
          <w:i w:val="false"/>
          <w:sz w:val="26"/>
          <w:szCs w:val="26"/>
          <w:rtl/>
        </w:rPr>
        <w:t xml:space="preserve">ת"ז: ______________</w:t>
      </w:r>
    </w:p>
    <w:p>
      <w:pPr>
        <w:bidi/>
        <w:spacing w:after="0" w:before="0" w:line="360" w:lineRule="auto"/>
        <w:jc w:val="center"/>
      </w:pPr>
      <w:r>
        <w:rPr>
          <w:rFonts w:ascii="Times New Roman" w:cs="David" w:eastAsia="David" w:hAnsi="Times New Roman"/>
          <w:b w:val="false"/>
          <w:i w:val="false"/>
          <w:sz w:val="26"/>
          <w:szCs w:val="26"/>
          <w:rtl/>
        </w:rPr>
        <w:t xml:space="preserve">אב תשפ"ו, אוגוסט 2026</w:t>
      </w:r>
    </w:p>
    <w:p>
      <w:pPr>
        <w:pageBreakBefore/>
        <w:bidi/>
        <w:spacing w:after="240" w:line="360" w:lineRule="auto"/>
        <w:jc w:val="start"/>
      </w:pPr>
      <w:r>
        <w:rPr>
          <w:rFonts w:ascii="Times New Roman" w:cs="David" w:eastAsia="David" w:hAnsi="Times New Roman"/>
          <w:b/>
          <w:bCs/>
          <w:i w:val="false"/>
          <w:sz w:val="32"/>
          <w:szCs w:val="32"/>
          <w:rtl/>
        </w:rPr>
        <w:t xml:space="preserve">1. נושא העבודה ושאלת המחקר</w:t>
      </w:r>
    </w:p>
    <w:p>
      <w:pPr>
        <w:bidi/>
        <w:spacing w:after="120" w:line="360" w:lineRule="auto"/>
        <w:jc w:val="both"/>
      </w:pPr>
      <w:r>
        <w:rPr>
          <w:rFonts w:ascii="Times New Roman" w:cs="David" w:eastAsia="David" w:hAnsi="Times New Roman"/>
          <w:b w:val="false"/>
          <w:i w:val="false"/>
          <w:sz w:val="24"/>
          <w:szCs w:val="24"/>
          <w:rtl/>
        </w:rPr>
        <w:t xml:space="preserve">עבודת הסמינריון שלי בקורס "המשפט כתרבות פופולרית", כפי שאושרה על ידי מרצה הסמינריון, עוסקת בניתוח אוטואתנוגרפי של תביעת עבודה, ובוחנת את המרחק שבין הדימוי התרבותי של עשיית צדק לבין חוויית ההליך בפועל, על הסחבת שבו ועל שלב הגבייה שאחריו. שאלת המחקר: כיצד משתקף הפער בין הבניית "עשיית הצדק" בתרבות הפופולרית לבין מציאות הגבייה ויחסי הכוח בתביעות עבודה? ניתוח מקרה בוחן אישי.</w:t>
      </w:r>
    </w:p>
    <w:p>
      <w:pPr>
        <w:bidi/>
        <w:spacing w:after="240" w:line="360" w:lineRule="auto"/>
        <w:jc w:val="start"/>
      </w:pPr>
      <w:r>
        <w:rPr>
          <w:rFonts w:ascii="Times New Roman" w:cs="David" w:eastAsia="David" w:hAnsi="Times New Roman"/>
          <w:b/>
          <w:bCs/>
          <w:i w:val="false"/>
          <w:sz w:val="32"/>
          <w:szCs w:val="32"/>
          <w:rtl/>
        </w:rPr>
        <w:t xml:space="preserve">2. שלושת הפריטים האקדמיים ואופן איתורם</w:t>
      </w:r>
    </w:p>
    <w:p>
      <w:pPr>
        <w:bidi/>
        <w:spacing w:after="120" w:line="360" w:lineRule="auto"/>
        <w:jc w:val="both"/>
      </w:pPr>
      <w:r>
        <w:rPr>
          <w:rFonts w:ascii="Times New Roman" w:cs="David" w:eastAsia="David" w:hAnsi="Times New Roman"/>
          <w:b w:val="false"/>
          <w:i w:val="false"/>
          <w:sz w:val="24"/>
          <w:szCs w:val="24"/>
          <w:rtl/>
        </w:rPr>
        <w:t xml:space="preserve">(Engel, 2016) - ספר אקדמי. אותר במנוע החיפוש Google Scholar באמצעות מילות החיפוש והאופרטורים: litigation AND avoidance AND "why we don't sue". קישור לספר:</w:t>
      </w:r>
    </w:p>
    <w:p>
      <w:pPr>
        <w:bidi w:val="false"/>
        <w:spacing w:after="120" w:line="360" w:lineRule="auto"/>
        <w:ind w:left="709"/>
        <w:jc w:val="left"/>
      </w:pPr>
      <w:hyperlink w:history="1" r:id="rIduhxqgxe38xmvpc-hemr44">
        <w:r>
          <w:rPr>
            <w:rStyle w:val="Hyperlink"/>
            <w:rFonts w:ascii="Times New Roman" w:cs="Times New Roman" w:eastAsia="Times New Roman" w:hAnsi="Times New Roman"/>
            <w:sz w:val="22"/>
            <w:szCs w:val="22"/>
          </w:rPr>
          <w:t xml:space="preserve">https://press.uchicago.edu/ucp/books/book/chicago/M/bo21571969.html</w:t>
        </w:r>
      </w:hyperlink>
    </w:p>
    <w:p>
      <w:pPr>
        <w:bidi/>
        <w:spacing w:after="120" w:line="360" w:lineRule="auto"/>
        <w:jc w:val="both"/>
      </w:pPr>
      <w:r>
        <w:rPr>
          <w:rFonts w:ascii="Times New Roman" w:cs="David" w:eastAsia="David" w:hAnsi="Times New Roman"/>
          <w:b w:val="false"/>
          <w:i w:val="false"/>
          <w:sz w:val="24"/>
          <w:szCs w:val="24"/>
          <w:rtl/>
        </w:rPr>
        <w:t xml:space="preserve">(Robson &amp; Schulz, 2016) - ספר אקדמי ערוך. אותר בקטלוג הספרייה ובמאגר Bloomsbury Collections באמצעות מילות החיפוש: "law and justice" AND television AND representation. קישור לספר:</w:t>
      </w:r>
    </w:p>
    <w:p>
      <w:pPr>
        <w:bidi w:val="false"/>
        <w:spacing w:after="120" w:line="360" w:lineRule="auto"/>
        <w:ind w:left="709"/>
        <w:jc w:val="left"/>
      </w:pPr>
      <w:hyperlink w:history="1" r:id="rIdfn3qd8dbzbv6_qifimaym">
        <w:r>
          <w:rPr>
            <w:rStyle w:val="Hyperlink"/>
            <w:rFonts w:ascii="Times New Roman" w:cs="Times New Roman" w:eastAsia="Times New Roman" w:hAnsi="Times New Roman"/>
            <w:sz w:val="22"/>
            <w:szCs w:val="22"/>
          </w:rPr>
          <w:t xml:space="preserve">https://www.bloomsburyprofessional.com/uk/a-transnational-study-of-law-and-justice-on-tv-9781509905683/</w:t>
        </w:r>
      </w:hyperlink>
    </w:p>
    <w:p>
      <w:pPr>
        <w:bidi/>
        <w:spacing w:after="120" w:line="360" w:lineRule="auto"/>
        <w:jc w:val="both"/>
      </w:pPr>
      <w:r>
        <w:rPr>
          <w:rFonts w:ascii="Times New Roman" w:cs="David" w:eastAsia="David" w:hAnsi="Times New Roman"/>
          <w:b w:val="false"/>
          <w:i w:val="false"/>
          <w:sz w:val="24"/>
          <w:szCs w:val="24"/>
          <w:rtl/>
        </w:rPr>
        <w:t xml:space="preserve">(נדיב, 2022) - מאמר אקדמי מכתב עת. אותר במדור כתבי העת של המאגר המשפטי נבו, בכתב העת "משפט ועסקים", באמצעות מילות החיפוש: עומס שיפוטי AND בתי המשפט. קישור למאמר:</w:t>
      </w:r>
    </w:p>
    <w:p>
      <w:pPr>
        <w:bidi w:val="false"/>
        <w:spacing w:after="120" w:line="360" w:lineRule="auto"/>
        <w:ind w:left="709"/>
        <w:jc w:val="left"/>
      </w:pPr>
      <w:hyperlink w:history="1" r:id="rIdenttek-varljgaudp1f-v">
        <w:r>
          <w:rPr>
            <w:rStyle w:val="Hyperlink"/>
            <w:rFonts w:ascii="Times New Roman" w:cs="Times New Roman" w:eastAsia="Times New Roman" w:hAnsi="Times New Roman"/>
            <w:sz w:val="22"/>
            <w:szCs w:val="22"/>
          </w:rPr>
          <w:t xml:space="preserve">https://runilawreview.org/2022/04/27/vol27-nadiv/</w:t>
        </w:r>
      </w:hyperlink>
    </w:p>
    <w:p>
      <w:pPr>
        <w:bidi/>
        <w:spacing w:after="240" w:line="360" w:lineRule="auto"/>
        <w:jc w:val="start"/>
      </w:pPr>
      <w:r>
        <w:rPr>
          <w:rFonts w:ascii="Times New Roman" w:cs="David" w:eastAsia="David" w:hAnsi="Times New Roman"/>
          <w:b/>
          <w:bCs/>
          <w:i w:val="false"/>
          <w:sz w:val="32"/>
          <w:szCs w:val="32"/>
          <w:rtl/>
        </w:rPr>
        <w:t xml:space="preserve">3. ראש הפרק: הסחבת המשפטית: בין הזמן התרבותי לזמן המוסדי</w:t>
      </w:r>
    </w:p>
    <w:p>
      <w:pPr>
        <w:bidi/>
        <w:spacing w:after="120" w:line="360" w:lineRule="auto"/>
        <w:jc w:val="both"/>
      </w:pPr>
      <w:r>
        <w:rPr>
          <w:rFonts w:ascii="Times New Roman" w:cs="David" w:eastAsia="David" w:hAnsi="Times New Roman"/>
          <w:b w:val="false"/>
          <w:i w:val="false"/>
          <w:sz w:val="24"/>
          <w:szCs w:val="24"/>
          <w:rtl/>
        </w:rPr>
        <w:t xml:space="preserve">ראש פרק זה, החותם את סקירת הספרות של עבודת הסמינריון, עוסק במימד הזמן של ההליך המשפטי ובפער שבין ייצוגו התרבותי לבין התמשכותו בפועל. התרבות הפופולרית מרגילה את צרכניה למשפט שנפתח ונסגר במהירות של פרק טלוויזיה, ואילו ההליך הממשי, ובוודאי בתביעות עבודה, נמדד בחודשים ארוכים ולעיתים בשנים. ההמתנה הזאת אינה שוות ערך עבור שני הצדדים: יש מי שיכול להרשות לעצמו לחכות בנוחות, ויש מי שכל חודש נוסף שוחק את כיסו, את ראיותיו ואת כוחותיו הנפשיים. הטענה המרכזית של ראש הפרק היא שהפער בין הזמן התרבותי לזמן המוסדי אינו עניין אסתטי בלבד, אלא פער רב השלכות המעצב ציפיות, החלטות ויחסי כוח בין בעלי הדין. מי שלמד מן המסך שצדק מגיע מהר, חווה את ההמתנה הממשית לא כמהלכו הרגיל של הליך תקין אלא כהפרה של ההבטחה המשפטית עצמה. לביסוס הטענה נשען הפרק על שלושה מקורות מן העשור האחרון: מחקר על ההימנעות מתביעות ועל שורשיה, קובץ השוואתי על ייצוג המשפט בטלוויזיה במדינות שונות, ומחקר אמפירי ישראלי על העומס השיפוטי ועל דרכי צמצומו. שילובם יאפשר לבחון את הזמן המשפטי כזירה שנפגשים בה תרבות, מוסדות וכוח, ולהכין את הקרקע למענה על שאלת המחקר.</w:t>
      </w:r>
    </w:p>
    <w:p>
      <w:pPr>
        <w:bidi/>
        <w:spacing w:after="120" w:line="360" w:lineRule="auto"/>
        <w:jc w:val="both"/>
      </w:pPr>
      <w:r>
        <w:rPr>
          <w:rFonts w:ascii="Times New Roman" w:cs="David" w:eastAsia="David" w:hAnsi="Times New Roman"/>
          <w:b w:val="false"/>
          <w:i w:val="false"/>
          <w:sz w:val="24"/>
          <w:szCs w:val="24"/>
          <w:rtl/>
        </w:rPr>
        <w:t xml:space="preserve">אנגל (Engel, 2016) שואל שאלה הפוכה מזו הרווחת בשיח הציבורי: לא מדוע אנשים תובעים יותר מדי, אלא מדוע רובם אינם תובעים כלל. ממצאיו מראים שרוב הנפגעים, גם מפגיעות ממשיות בגוף ובכיס, אינם מגישים תביעה לעולם. בין הגורמים לכך הוא מונה את עלויות ההליך, את משכו הצפוי ואת מחירו הרגשי והחברתי של עימות מתמשך. דימוי "החברה המתדיינת", המוכר מהתקשורת ומהתרבות הפופולרית, מתגלה אצלו כמיתוס שהמרחק בינו לבין ההתנהגות בפועל עצום. המיתוס אף פועל בכיוון ההפוך: הוא גורם לנפגעים להתבייש ברעיון התביעה, כדי שלא להיתפס כטרדנים. מנקודת מבטו של פרק זה, הממצא המרכזי הוא שהזמן הצפוי של ההליך מרתיע עוד לפני שההליך התחיל. ההמתנה, במילים אחרות, אינה רק חוויה של מי שתבע, אלא מחסום עבור מי ששוקל לתבוע.</w:t>
      </w:r>
    </w:p>
    <w:p>
      <w:pPr>
        <w:bidi/>
        <w:spacing w:after="120" w:line="360" w:lineRule="auto"/>
        <w:jc w:val="both"/>
      </w:pPr>
      <w:r>
        <w:rPr>
          <w:rFonts w:ascii="Times New Roman" w:cs="David" w:eastAsia="David" w:hAnsi="Times New Roman"/>
          <w:b w:val="false"/>
          <w:i w:val="false"/>
          <w:sz w:val="24"/>
          <w:szCs w:val="24"/>
          <w:rtl/>
        </w:rPr>
        <w:t xml:space="preserve">שני המקורות הנוספים ממקמים את ממצאיו של אנגל בין שני קטבים, הייצוג התרבותי והמציאות המוסדית. רובסון ושולץ (Robson &amp; Schulz, 2016) בוחנים בקובץ השוואתי את ייצוג המשפט בסדרות טלוויזיה במדינות שונות, ומראים שהז'אנר נשען כמעט בכל מקום על דחיסת זמן קיצונית ועל הכרעה מהירה ומספקת. הצופה, בכל שפה שבה יצפה, מפנים לוח זמנים בדיוני שבו עשיית צדק היא עניין של פרק אחד. נדיב (2022) מציגה את הצד השני של המטבע במחקר אמפירי על בתי המשפט בישראל, שבו העומס השיפוטי מתואר כבעיה מבנית המאריכה הליכים, וההתמקצעות השיפוטית נבחנת ככלי אפשרי לקיצורם. מהשוואת המקורות עולה סימטריה מעניינת: הבדיון פותר את בעיית הזמן על ידי העלמתה, והמחקר המוסדי מחפש דרכים לפתור אותה בעולם הממשי. שניהם יוצאים מאותה הנחה שלפיה התמשכות ההליכים אינה גזירת גורל אלא תוצר של מבנה. אלא שבזמן שהטלוויזיה מוכרת לצופה עולם שבו הבעיה כבר נפתרה, נתוני העומס מזכירים שבעולם הממשי היא רחוקה מפתרון, והפער בין העולמות הוא המרחב שבו חי בעל הדין הממתין.</w:t>
      </w:r>
    </w:p>
    <w:p>
      <w:pPr>
        <w:bidi/>
        <w:spacing w:after="120" w:line="360" w:lineRule="auto"/>
        <w:jc w:val="both"/>
      </w:pPr>
      <w:r>
        <w:rPr>
          <w:rFonts w:ascii="Times New Roman" w:cs="David" w:eastAsia="David" w:hAnsi="Times New Roman"/>
          <w:b w:val="false"/>
          <w:i w:val="false"/>
          <w:sz w:val="24"/>
          <w:szCs w:val="24"/>
          <w:rtl/>
        </w:rPr>
        <w:t xml:space="preserve">השורה התחתונה של ראש הפרק היא שהזמן המשפטי מחלק כוח: הוא מרתיע תובעים פוטנציאליים מראש, שוחק את מי שבכל זאת תבע, ומשרת בשיטתיות את הצד שיכול להמתין. התרבות הפופולרית, המציגה צדק מיידי ומספק, מסתירה את המנגנון הזה מעיני צרכניה ומשאירה אותם לא מוכנים למפגש עימו. המחקר המוסדי, מנגד, מלמד שההתמשכות ניתנת למדידה, להשוואה ולשינוי, ולכן היא עניין של מדיניות ולא גזירת גורל. כך נחשף פער שיטתי בין הציפייה שההליך מייצר לבין החוויה שהוא מספק, פער שכל מתדיין מגלה לבדו וברגע הפגיע ביותר. ראש פרק זה חותם את סקירת הספרות, ולכן הוא מוביל ישירות אל שאלת המחקר של העבודה: כיצד משתקף הפער בין הבניית "עשיית הצדק" בתרבות הפופולרית לבין מציאות הגבייה ויחסי הכוח בתביעות עבודה? הכלים שנפרשו בשלושת ראשי הפרקים ישמשו לענות עליה באמצעות ניתוח מקרה הבוחן האישי.</w:t>
      </w:r>
    </w:p>
    <w:p>
      <w:pPr>
        <w:pageBreakBefore/>
        <w:bidi/>
        <w:spacing w:after="240" w:line="360" w:lineRule="auto"/>
        <w:jc w:val="start"/>
      </w:pPr>
      <w:r>
        <w:rPr>
          <w:rFonts w:ascii="Times New Roman" w:cs="David" w:eastAsia="David" w:hAnsi="Times New Roman"/>
          <w:b/>
          <w:bCs/>
          <w:i w:val="false"/>
          <w:sz w:val="32"/>
          <w:szCs w:val="32"/>
          <w:rtl/>
        </w:rPr>
        <w:t xml:space="preserve">רשימת מקורות</w:t>
      </w:r>
    </w:p>
    <w:p>
      <w:pPr>
        <w:bidi/>
        <w:spacing w:after="180" w:line="360" w:lineRule="auto"/>
        <w:ind w:left="709" w:hanging="709"/>
        <w:jc w:val="start"/>
      </w:pPr>
      <w:r>
        <w:rPr>
          <w:rFonts w:ascii="Times New Roman" w:cs="David" w:eastAsia="David" w:hAnsi="Times New Roman"/>
          <w:b w:val="false"/>
          <w:i w:val="false"/>
          <w:sz w:val="24"/>
          <w:szCs w:val="24"/>
          <w:rtl/>
        </w:rPr>
        <w:t xml:space="preserve">נדיב, נ' (2022). האם התמקצעות שיפוטית חשובה? התמקצעות ועומס בבתי המשפט המחוזיים. </w:t>
      </w:r>
      <w:r>
        <w:rPr>
          <w:rFonts w:ascii="Times New Roman" w:cs="David" w:eastAsia="David" w:hAnsi="Times New Roman"/>
          <w:b w:val="false"/>
          <w:i/>
          <w:iCs/>
          <w:sz w:val="24"/>
          <w:szCs w:val="24"/>
          <w:rtl/>
        </w:rPr>
        <w:t xml:space="preserve">משפט ועסקים, כז</w:t>
      </w:r>
      <w:r>
        <w:rPr>
          <w:rFonts w:ascii="Times New Roman" w:cs="David" w:eastAsia="David" w:hAnsi="Times New Roman"/>
          <w:b w:val="false"/>
          <w:i w:val="false"/>
          <w:sz w:val="24"/>
          <w:szCs w:val="24"/>
          <w:rtl/>
        </w:rPr>
        <w:t xml:space="preserve">, 87. זמין במאגר המשפטי נבו.</w:t>
      </w:r>
    </w:p>
    <w:p>
      <w:pPr>
        <w:bidi w:val="false"/>
        <w:spacing w:after="180" w:line="360" w:lineRule="auto"/>
        <w:ind w:left="709"/>
        <w:jc w:val="left"/>
      </w:pPr>
      <w:hyperlink w:history="1" r:id="rIdu0z4zfmjb4pdx9lwfxorx">
        <w:r>
          <w:rPr>
            <w:rStyle w:val="Hyperlink"/>
            <w:rFonts w:ascii="Times New Roman" w:cs="Times New Roman" w:eastAsia="Times New Roman" w:hAnsi="Times New Roman"/>
            <w:sz w:val="22"/>
            <w:szCs w:val="22"/>
          </w:rPr>
          <w:t xml:space="preserve">https://runilawreview.org/2022/04/27/vol27-nadiv/</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Engel, D. M. (2016). </w:t>
      </w:r>
      <w:r>
        <w:rPr>
          <w:rFonts w:ascii="Times New Roman" w:cs="Times New Roman" w:eastAsia="Times New Roman" w:hAnsi="Times New Roman"/>
          <w:b w:val="false"/>
          <w:i/>
          <w:iCs/>
          <w:sz w:val="24"/>
          <w:szCs w:val="24"/>
          <w:rtl w:val="false"/>
        </w:rPr>
        <w:t xml:space="preserve">The myth of the litigious society: Why we don't sue</w:t>
      </w:r>
      <w:r>
        <w:rPr>
          <w:rFonts w:ascii="Times New Roman" w:cs="Times New Roman" w:eastAsia="Times New Roman" w:hAnsi="Times New Roman"/>
          <w:b w:val="false"/>
          <w:i w:val="false"/>
          <w:sz w:val="24"/>
          <w:szCs w:val="24"/>
          <w:rtl w:val="false"/>
        </w:rPr>
        <w:t xml:space="preserve">. University of Chicago Press.</w:t>
      </w:r>
    </w:p>
    <w:p>
      <w:pPr>
        <w:bidi w:val="false"/>
        <w:spacing w:after="180" w:line="360" w:lineRule="auto"/>
        <w:ind w:left="709"/>
        <w:jc w:val="left"/>
      </w:pPr>
      <w:hyperlink w:history="1" r:id="rIdkdgi8o36wf9x5ty1b2pvl">
        <w:r>
          <w:rPr>
            <w:rStyle w:val="Hyperlink"/>
            <w:rFonts w:ascii="Times New Roman" w:cs="Times New Roman" w:eastAsia="Times New Roman" w:hAnsi="Times New Roman"/>
            <w:sz w:val="22"/>
            <w:szCs w:val="22"/>
          </w:rPr>
          <w:t xml:space="preserve">https://press.uchicago.edu/ucp/books/book/chicago/M/bo21571969.html</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Robson, P., &amp; Schulz, J. L. (Eds.). (2016). </w:t>
      </w:r>
      <w:r>
        <w:rPr>
          <w:rFonts w:ascii="Times New Roman" w:cs="Times New Roman" w:eastAsia="Times New Roman" w:hAnsi="Times New Roman"/>
          <w:b w:val="false"/>
          <w:i/>
          <w:iCs/>
          <w:sz w:val="24"/>
          <w:szCs w:val="24"/>
          <w:rtl w:val="false"/>
        </w:rPr>
        <w:t xml:space="preserve">A transnational study of law and justice on TV</w:t>
      </w:r>
      <w:r>
        <w:rPr>
          <w:rFonts w:ascii="Times New Roman" w:cs="Times New Roman" w:eastAsia="Times New Roman" w:hAnsi="Times New Roman"/>
          <w:b w:val="false"/>
          <w:i w:val="false"/>
          <w:sz w:val="24"/>
          <w:szCs w:val="24"/>
          <w:rtl w:val="false"/>
        </w:rPr>
        <w:t xml:space="preserve">. Hart Publishing.</w:t>
      </w:r>
    </w:p>
    <w:p>
      <w:pPr>
        <w:bidi w:val="false"/>
        <w:spacing w:after="180" w:line="360" w:lineRule="auto"/>
        <w:ind w:left="709"/>
        <w:jc w:val="left"/>
      </w:pPr>
      <w:hyperlink w:history="1" r:id="rIdd6ploipxxrx6yy36m4ryh">
        <w:r>
          <w:rPr>
            <w:rStyle w:val="Hyperlink"/>
            <w:rFonts w:ascii="Times New Roman" w:cs="Times New Roman" w:eastAsia="Times New Roman" w:hAnsi="Times New Roman"/>
            <w:sz w:val="22"/>
            <w:szCs w:val="22"/>
          </w:rPr>
          <w:t xml:space="preserve">https://www.bloomsburyprofessional.com/uk/a-transnational-study-of-law-and-justice-on-tv-9781509905683/</w:t>
        </w:r>
      </w:hyperlink>
    </w:p>
    <w:sectPr>
      <w:headerReference w:type="default" r:id="rId7"/>
      <w:head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uhxqgxe38xmvpc-hemr44" Type="http://schemas.openxmlformats.org/officeDocument/2006/relationships/hyperlink" Target="https://press.uchicago.edu/ucp/books/book/chicago/M/bo21571969.html" TargetMode="External"/><Relationship Id="rIdfn3qd8dbzbv6_qifimaym" Type="http://schemas.openxmlformats.org/officeDocument/2006/relationships/hyperlink" Target="https://www.bloomsburyprofessional.com/uk/a-transnational-study-of-law-and-justice-on-tv-9781509905683/" TargetMode="External"/><Relationship Id="rIdenttek-varljgaudp1f-v" Type="http://schemas.openxmlformats.org/officeDocument/2006/relationships/hyperlink" Target="https://runilawreview.org/2022/04/27/vol27-nadiv/" TargetMode="External"/><Relationship Id="rIdu0z4zfmjb4pdx9lwfxorx" Type="http://schemas.openxmlformats.org/officeDocument/2006/relationships/hyperlink" Target="https://runilawreview.org/2022/04/27/vol27-nadiv/" TargetMode="External"/><Relationship Id="rIdkdgi8o36wf9x5ty1b2pvl" Type="http://schemas.openxmlformats.org/officeDocument/2006/relationships/hyperlink" Target="https://press.uchicago.edu/ucp/books/book/chicago/M/bo21571969.html" TargetMode="External"/><Relationship Id="rIdd6ploipxxrx6yy36m4ryh" Type="http://schemas.openxmlformats.org/officeDocument/2006/relationships/hyperlink" Target="https://www.bloomsburyprofessional.com/uk/a-transnational-study-of-law-and-justice-on-tv-9781509905683/"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תשתית לראש פרק בסקירת הספרות של עבודת הסמינריון</dc:title>
  <dc:creator>ליני ______________</dc:creator>
  <cp:lastModifiedBy>Un-named</cp:lastModifiedBy>
  <cp:revision>1</cp:revision>
  <dcterms:created xsi:type="dcterms:W3CDTF">2026-08-01T10:55:25.067Z</dcterms:created>
  <dcterms:modified xsi:type="dcterms:W3CDTF">2026-08-01T10:55:25.082Z</dcterms:modified>
</cp:coreProperties>
</file>

<file path=docProps/custom.xml><?xml version="1.0" encoding="utf-8"?>
<Properties xmlns="http://schemas.openxmlformats.org/officeDocument/2006/custom-properties" xmlns:vt="http://schemas.openxmlformats.org/officeDocument/2006/docPropsVTypes"/>
</file>