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שתיהן מוכרות במשפט העבודה הקיבוצי בישראל (בן-ישראל, 2002; הילדסהימר, 2026ג). הזכות הראשונה מעוגנת ב</w:t>
      </w:r>
      <w:r>
        <w:rPr>
          <w:b/>
          <w:sz w:val="24"/>
          <w:rtl/>
          <w:szCs w:val="24"/>
          <w:bCs/>
        </w:rPr>
        <w:t>סעיף 33ח לחוק הסכמים קיבוציים, התשי"ז-1957</w:t>
      </w:r>
      <w:r>
        <w:rPr>
          <w:sz w:val="24"/>
          <w:rtl/>
          <w:szCs w:val="24"/>
        </w:rPr>
        <w:t>,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בג"ץ 7029/95 הסתדרות העובדים הכללית החדשה נ' בית הדין הארצי לעבודה (עניין עמית, 1997)</w:t>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שני המבחנים הראשונים מתקיימים. חברי הקבוצה הם עובדי החברה שהצטרפו מרצונם, ולקבוצה תקנון הקובע מטרות וסמכויות. הקושי מתעורר בשני המבחנים האחרים, ובית הדין בוחן אותם לפי המהות ולא לפי הכותרות שבתקנון.</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ואינו שולל תנאים אישיים טובים יותר. מכאן שמטרה ד' אינה משקפת חשש אמיתי, אלא התנגדות עקרונית לייצוג קיבוצי בתנאים המהותיים.</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w:t>
      </w:r>
      <w:r>
        <w:rPr>
          <w:b/>
          <w:sz w:val="24"/>
          <w:rtl/>
          <w:szCs w:val="24"/>
          <w:bCs/>
        </w:rPr>
        <w:t>עס"ק (ארצי) 6298-03-25 הסתדרות העובדים הכללית החדשה נ' ארגון עובדי הפיתוח והשיווק בנוקיה (10.6.2025)</w:t>
      </w:r>
      <w:r>
        <w:rPr>
          <w:sz w:val="24"/>
          <w:rtl/>
          <w:szCs w:val="24"/>
        </w:rPr>
        <w:t xml:space="preserve"> יישם בית הדין הארצי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 המסקנה חלה גם כאן.</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והיא אינה יכולה לדרוש משא ומתן קיבוצי או לחתום על הסכם קיבוצי.</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עס"ק (ארצי) 25476-09-12 הסתדרות העובדים החדשה נ' פלאפון תקשורת בע"מ (2.1.2013)</w:t>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במיוחד משום שמדובר במנהלים המשפיעים על הבונוסים, האופציות והקידום של אותם 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 התשנ"ח-1998</w:t>
      </w:r>
      <w:r>
        <w:rPr>
          <w:sz w:val="24"/>
          <w:rtl/>
          <w:szCs w:val="24"/>
        </w:rPr>
        <w:t xml:space="preserve">, נועד להגן על כבוד האדם, חירותו ופרטיותו (סעיף 1; הילדסהימר, 2026ב).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הצעות חוזרות (סעיף 3(א)(3)) לא היו, והשאלה על נטייתו של אורי לא נשאלה בדרך מבזה (סעיף 3(א)(5)).</w:t>
      </w:r>
    </w:p>
    <w:p>
      <w:pPr>
        <w:bidi/>
        <w:spacing w:before="0" w:after="0"/>
        <w:jc w:val="both"/>
      </w:pPr>
      <w:r>
        <w:rPr>
          <w:sz w:val="24"/>
          <w:rtl/>
          <w:szCs w:val="24"/>
        </w:rPr>
        <w:t>השיחות התקיימו במשרד ולכן ב"מסגרת יחסי עבודה". חוסר עניין מראים במילים או בהתנהגות שמבהירה זאת באופן ברור (התקנון לדוגמה שבתוספת לתקנות, סעיף 1), ואורי לא עשה כן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w:t>
      </w:r>
      <w:r>
        <w:rPr>
          <w:sz w:val="24"/>
          <w:rtl/>
          <w:szCs w:val="24"/>
        </w:rPr>
        <w:t>, כאשר ההתייחסויות נעשות תוך ניצול יחסי מרות בעבודה, אין צורך שהמוטרד יראה שאינו מעוניין. ב</w:t>
      </w:r>
      <w:r>
        <w:rPr>
          <w:b/>
          <w:sz w:val="24"/>
          <w:rtl/>
          <w:szCs w:val="24"/>
          <w:bCs/>
        </w:rPr>
        <w:t>עש"ם 2203/05 מדר נ' נציבות שירות המדינה (21.7.2005)</w:t>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משתתפת בהחלטות השיבוץ ומשפיעה על קידום עובדים צעירים כמו אורי. לפי הלכת מדר אלה יחסי מרות, והשתתפותו של אורי בשיחות יכולה לנבוע מרצון שלא להסתכסך עם מי שמשפיעה על 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נקשרו למעמדו בעבודה, ולכן קשה לבסס כאן הטרדה מינית. אין זו גם </w:t>
      </w:r>
      <w:r>
        <w:rPr>
          <w:b/>
          <w:sz w:val="24"/>
          <w:rtl/>
          <w:szCs w:val="24"/>
          <w:bCs/>
        </w:rPr>
        <w:t>הטרדה סביבתית</w:t>
      </w:r>
      <w:r>
        <w:rPr>
          <w:sz w:val="24"/>
          <w:rtl/>
          <w:szCs w:val="24"/>
        </w:rPr>
        <w:t>, שכן ההתנהגות הופנתה לאורי בלבד.</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w:t>
      </w:r>
      <w:r>
        <w:rPr>
          <w:b/>
          <w:sz w:val="24"/>
          <w:rtl/>
          <w:szCs w:val="24"/>
          <w:bCs/>
        </w:rPr>
        <w:t>תקנות למניעת הטרדה מינית (חובות מעסיק), התשנ"ח-1998</w:t>
      </w:r>
      <w:r>
        <w:rPr>
          <w:sz w:val="24"/>
          <w:rtl/>
          <w:szCs w:val="24"/>
        </w:rPr>
        <w:t xml:space="preserve">, עליה גם להתאים את התקנון לדוגמה ולפרסמו (תקנות 2(ג) ו-8), ולמנות </w:t>
      </w:r>
      <w:r>
        <w:rPr>
          <w:b/>
          <w:sz w:val="24"/>
          <w:rtl/>
          <w:szCs w:val="24"/>
          <w:bCs/>
        </w:rPr>
        <w:t>אחראי</w:t>
      </w:r>
      <w:r>
        <w:rPr>
          <w:sz w:val="24"/>
          <w:rtl/>
          <w:szCs w:val="24"/>
        </w:rPr>
        <w:t xml:space="preserve"> לקבלת תלונות ולבירורן (תקנה 4). נודע למעסיק על מקרה גם בלי תלונה, עליו להעבירו לבירור האחראי (תקנה 6(ט)).</w:t>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סעיף 7(א) לחוק שוויון ההזדמנויות בעבודה, התשמ"ח-1988</w:t>
      </w:r>
      <w:r>
        <w:rPr>
          <w:sz w:val="24"/>
          <w:rtl/>
          <w:szCs w:val="24"/>
        </w:rPr>
        <w:t>,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 אם יוכרו יחסי מרות, גם השאלה הבודדת על נטייתו של אורי עשויה להספיק. העברתו לצוות טכני חודש אחרי שביקש לסיים את השיחות, והשפעתה של דנה על השיבוץ, מעוררות חשד לקשר כזה. משהוכיח זאת אורי, עובר למעסיק הנטל להראות שלא פגע בו (סעיף 9(ב) לאותו חוק), אף שהעובדות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 (הילדסהימר, 2026א). העברתו של אורי מהפרויקטים המרכזיים לעריכה טכנית, בלי ישיבות קריאטיב ועם פחות אחריות, היא פגיעה במעמד, אף ששכרו לא השתנה. שינוי ב"תיאור עיקרי התפקיד" מחייב גם הודעה בכתב לעובד בתוך 30 יום (סעיפים 2(א)(3) ו-3 ל</w:t>
      </w:r>
      <w:r>
        <w:rPr>
          <w:b/>
          <w:sz w:val="24"/>
          <w:rtl/>
          <w:szCs w:val="24"/>
          <w:bCs/>
        </w:rPr>
        <w:t>חוק הודעה לעובד ולמועמד לעבודה, התשס"ב-2002</w:t>
      </w:r>
      <w:r>
        <w:rPr>
          <w:sz w:val="24"/>
          <w:rtl/>
          <w:szCs w:val="24"/>
        </w:rPr>
        <w:t>), ובהיעדרה עובר למעסיק נטל ההוכחה בעניין השנוי במחלוקת (סעיף 5א).</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כלומר לעניין הזכאות לפיצויי פיטורים בלבד. הזכאות עצמה מותנית בשנת עבודה אחת ברציפות אצל אותו מעסיק (סעיף 1(א) לחוק), ומאחר שאורי "התקבל" לחברה ותקופת העסקתו אינה ידועה, יש לבדוק תחילה שתנאי זה מתקיים.</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תב"ע (ארצי) נד/3-86 גולן נ' אי.אל.די. בע"מ</w:t>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אף שהתקופה קצרה מזו שבעניין גולן, השתיקה מלמדת על השלמה עם השינוי. גם "נסיבות אחרות" אינן מסייעות לו, שכן השיחות הסתיימו חודשים לפני ההתפטרות.</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גם אם יוכרו יחסי מרות לפי הלכת מדר, קשה להראות התייחסויות חוזרות למיניותו של אורי. טענת ההתנכלות חזקה יותר, בשל סעיפים 7 ו-9 לחוק שוויון ההזדמנויות. טענת ההתפטרות בדין מפוטר נכשלת בשל היעדר התראה והשיהוי (הלכת גולן). על Frame לוודא שיש לה תקנון מותאם ואחראי.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ועמית, הסתדרות עובדים מכבי (1997).</w:t>
      </w:r>
    </w:p>
    <w:p>
      <w:pPr>
        <w:bidi/>
        <w:spacing w:before="0" w:after="0"/>
        <w:jc w:val="both"/>
      </w:pPr>
      <w:r>
        <w:rPr>
          <w:sz w:val="24"/>
          <w:rtl/>
          <w:szCs w:val="24"/>
        </w:rPr>
        <w:t>עס"ק (ארצי) 6298-03-25 הסתדרות העובדים הכללית החדשה נ' ארגון עובדי הפיתוח והשיווק בנוקיה (10.6.2025).</w:t>
      </w:r>
    </w:p>
    <w:p>
      <w:pPr>
        <w:bidi/>
        <w:spacing w:before="0" w:after="0"/>
        <w:jc w:val="both"/>
      </w:pPr>
      <w:r>
        <w:rPr>
          <w:sz w:val="24"/>
          <w:rtl/>
          <w:szCs w:val="24"/>
        </w:rPr>
        <w:t>עס"ק (ארצי) 25476-09-12 הסתדרות העובדים החדשה נ' פלאפון תקשורת בע"מ (2.1.2013).</w:t>
      </w:r>
    </w:p>
    <w:p>
      <w:pPr>
        <w:bidi/>
        <w:spacing w:before="0" w:after="0"/>
        <w:jc w:val="both"/>
      </w:pPr>
      <w:r>
        <w:rPr>
          <w:sz w:val="24"/>
          <w:rtl/>
          <w:szCs w:val="24"/>
        </w:rPr>
        <w:t>עש"ם 2203/05 מדר נ' נציבות שירות המדינה (21.7.2005).</w:t>
      </w:r>
    </w:p>
    <w:p>
      <w:pPr>
        <w:bidi/>
        <w:spacing w:before="0" w:after="0"/>
        <w:jc w:val="both"/>
      </w:pPr>
      <w:r>
        <w:rPr>
          <w:sz w:val="24"/>
          <w:rtl/>
          <w:szCs w:val="24"/>
        </w:rPr>
        <w:t>תב"ע (ארצי) נד/3-86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בן-ישראל, ר' (2002). דיני עבודה (כרך א', עמ' 32-48).</w:t>
      </w:r>
    </w:p>
    <w:p>
      <w:pPr>
        <w:bidi/>
        <w:spacing w:before="0" w:after="0"/>
        <w:jc w:val="both"/>
      </w:pPr>
      <w:r>
        <w:rPr>
          <w:sz w:val="24"/>
          <w:rtl/>
          <w:szCs w:val="24"/>
        </w:rPr>
        <w:t>הילדסהימר, ג' (2026א). חוזה עבודה אישי ומניעת הרעת תנאים,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(2026ב). החוק למניעת הטרדה מינית,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(2026ג). התארגנויות עובדים [מצגת הרצאה]. היבטים משפטיים ואתיים בייעוץ ופיתוח ארגוני, המרכז האקדמי פרס.</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