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20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60" w:line="360"/>
        <w:jc w:val="right"/>
      </w:pPr>
      <w:r>
        <w:rPr>
          <w:rFonts w:ascii="David" w:cs="David" w:eastAsia="David" w:hAnsi="David"/>
          <w:b/>
          <w:bCs/>
          <w:sz w:val="32"/>
          <w:szCs w:val="32"/>
          <w:rtl/>
        </w:rPr>
        <w:t xml:space="preserve">מבוא</w:t>
      </w:r>
    </w:p>
    <w:p>
      <w:pPr>
        <w:bidi/>
        <w:spacing w:after="120" w:line="360" w:lineRule="auto"/>
        <w:jc w:val="both"/>
      </w:pPr>
      <w:r>
        <w:rPr>
          <w:rFonts w:ascii="David" w:cs="David" w:eastAsia="David" w:hAnsi="David"/>
          <w:sz w:val="24"/>
          <w:szCs w:val="24"/>
          <w:rtl/>
        </w:rPr>
        <w:t xml:space="preserve">בחמישה בינואר 1895 התכנסו המונים בחצר בית הספר הצבאי בפריז כדי לחזות בטקס הורדת הדרגות של הקפטן אלפרד דרייפוס, קצין יהודי ממוצא אלזסי שהורשע בבגידה ובמסירת סודות צבאיים לגרמניה. בין הכתבים שסיקרו את הטקס עמד גם תיאודור (בנימין זאב) הרצל, כתבו הפריזאי של העיתון הווינאי הליברלי "נויה פרייה פרסה". ארבע שנים לאחר מכן, כשהוא כבר עומד בראש התנועה הציונית, כתב הרצל כי "משפט דרייפוס הוא שעשה אותי לציוני".</w:t>
      </w:r>
      <w:r>
        <w:rPr>
          <w:rStyle w:val="FootnoteReference"/>
        </w:rPr>
        <w:footnoteReference w:id="1"/>
      </w:r>
      <w:r>
        <w:rPr>
          <w:rFonts w:ascii="David" w:cs="David" w:eastAsia="David" w:hAnsi="David"/>
          <w:sz w:val="24"/>
          <w:szCs w:val="24"/>
          <w:rtl/>
        </w:rPr>
        <w:t xml:space="preserve"> אמירה זו הפכה לאחד ממיתוסי היסוד של ההיסטוריה הציונית: הקצין היהודי המושפל, ההמון הפריזאי הצועק "מוות ליהודים", והעיתונאי הווינאי המתבולל היוצא מן הטקס כשבליבו ההכרה כי האמנציפציה נכשלה וכי אין ליהודים תקנה אלא במדינה משלהם. ואולם ההיסטוריוגרפיה של העשורים האחרונים ערערה על סיפור זה מיסודו, והציעה במקומו תמונה מורכבת הרבה יותר, שבה פרשת דרייפוס היא רק אחד מכמה גורמים – ואולי לא החשוב שבהם – שהביאו את הרצל אל הרעיון הציוני.</w:t>
      </w:r>
    </w:p>
    <w:p>
      <w:pPr>
        <w:bidi/>
        <w:spacing w:after="120" w:line="360" w:lineRule="auto"/>
        <w:jc w:val="both"/>
      </w:pPr>
      <w:r>
        <w:rPr>
          <w:rFonts w:ascii="David" w:cs="David" w:eastAsia="David" w:hAnsi="David"/>
          <w:sz w:val="24"/>
          <w:szCs w:val="24"/>
          <w:rtl/>
        </w:rPr>
        <w:t xml:space="preserve">עבודה זו מבקשת לבחון את השפעתה של פרשת דרייפוס על המהפך האידיאולוגי בהגותו של הרצל: המעבר מתמיכה בהתבוללות ובאמנציפציה, שאפיינה אותו עד אמצע שנות התשעים של המאה התשע עשרה, אל ניסוחו של הרעיון הציוני המדיני בחיבור "מדינת היהודים" (1896) ואל הקמת ההסתדרות הציונית בקונגרס בזל (1897). שאלת המחקר שתנחה את הדיון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both"/>
      </w:pPr>
      <w:r>
        <w:rPr>
          <w:rFonts w:ascii="David" w:cs="David" w:eastAsia="David" w:hAnsi="David"/>
          <w:sz w:val="24"/>
          <w:szCs w:val="24"/>
          <w:rtl/>
        </w:rPr>
        <w:t xml:space="preserve">הטענה המרכזית שתוצג בעבודה היא שפרשת דרייפוס לא הייתה נקודת מפנה חד־פעמית בהגותו של הרצל, אלא חוליה אחת בשרשרת ארוכה של התנסויות ותובנות, שראשיתה בהיכרותו עם האנטישמיות הגרמנית והאוסטרית בשנות השמונים, המשכה בשנותיו בפריז כעד לפוליטיקה ההמונית של הרפובליקה השלישית ולתעמולה של אדואר דרימון, ושיאה – דווקא בהתפתחויות הפוליטיות בווינה עירו, עם עלייתו של קרל לואגר לשלטון בשנת 1895. עם זאת, תידחה כאן גם העמדה ההפוכה, שלפיה הפרשה הייתה חסרת חשיבות: כפי שיוצע בפרקים האחרונים, יש להבחין בין תפקידה של הפרשה בשלב ההתגבשות של הרעיון הציוני (1894–1896), שהיה מצומצם, לבין תפקידה בשלב ההפצה והלגיטימציה של הרעיון (1897–1904), שבו נעשתה הפרשה – משהתלקחה מחדש בעקבות "אני מאשים" של אמיל זולא – לראיה הניצחת בידי הרצל לכישלון האמנציפציה, ולכלי רטורי מרכזי בבניית הסיפור העצמי של התנועה.</w:t>
      </w:r>
    </w:p>
    <w:p>
      <w:pPr>
        <w:bidi/>
        <w:spacing w:after="120" w:line="360" w:lineRule="auto"/>
        <w:jc w:val="both"/>
      </w:pPr>
      <w:r>
        <w:rPr>
          <w:rFonts w:ascii="David" w:cs="David" w:eastAsia="David" w:hAnsi="David"/>
          <w:sz w:val="24"/>
          <w:szCs w:val="24"/>
          <w:rtl/>
        </w:rPr>
        <w:t xml:space="preserve">הערה מושגית קצרה נחוצה כאן. בהיסטוריוגרפיה הצרפתית מקובל להבחין בין "מקרה דרייפוס" (l'affaire Dreyfus במובנה המצומצם, או "המקרה") – ההליך המשפטי נגד הקצין בשנים 1894–1895 – לבין "הפרשה" במובנה הרחב – המאבק הציבורי והפוליטי על ביטול פסק הדין, שהתלקח בסתיו 1897 והגיע לשיאו בשנים 1898–1899. הבחנה זו אינה טכנית בלבד: היא מכריעה לענייננו, שכן הרצל היה עד ל"מקרה" בלבד, ואילו "הפרשה" במובנה המלא התרחשה כשהוא כבר עמד בראש התנועה הציונית. בעבודה זו ישמש המונח "פרשת דרייפוס" במובן הרחב, ובמקומות שבהם חשובה ההבחנה היא תצוין במפורש.</w:t>
      </w:r>
    </w:p>
    <w:p>
      <w:pPr>
        <w:bidi/>
        <w:spacing w:after="120" w:line="360" w:lineRule="auto"/>
        <w:jc w:val="both"/>
      </w:pPr>
      <w:r>
        <w:rPr>
          <w:rFonts w:ascii="David" w:cs="David" w:eastAsia="David" w:hAnsi="David"/>
          <w:sz w:val="24"/>
          <w:szCs w:val="24"/>
          <w:rtl/>
        </w:rPr>
        <w:t xml:space="preserve">הדיון בשאלה זו מחייב עיון בשלושה מעגלים היסטוריים. המעגל הראשון הוא האנטישמיות המודרנית של המאה התשע עשרה, שהופיעה בגרמניה, באוסטריה־הונגריה ובצרפת למן שנות השבעים כתופעה פוליטית חדשה, המובחנת משנאת היהודים הדתית המסורתית. המעגל השני הוא פרשת דרייפוס עצמה – רקעה, השתלשלותה והשלכותיה על החברה הצרפתית ועל יהודי צרפת. המעגל השלישי הוא הביוגרפיה האינטלקטואלית של הרצל: חינוכו, הזדהותו עם התרבות הגרמנית, עמדותיו המוקדמות בשאלה היהודית והדרך שבה הגיע אל הרעיון הציוני.</w:t>
      </w:r>
    </w:p>
    <w:p>
      <w:pPr>
        <w:bidi/>
        <w:spacing w:after="120" w:line="360" w:lineRule="auto"/>
        <w:jc w:val="both"/>
      </w:pPr>
      <w:r>
        <w:rPr>
          <w:rFonts w:ascii="David" w:cs="David" w:eastAsia="David" w:hAnsi="David"/>
          <w:sz w:val="24"/>
          <w:szCs w:val="24"/>
          <w:rtl/>
        </w:rPr>
        <w:t xml:space="preserve">בהתאם לכך, העבודה בנויה משישה פרקים. הפרק הראשון מציג את המסגרת המושגית וההיסטורית של האנטישמיות המודרנית, תוך התייחסות לוויכוח ההיסטוריוגרפי בין גישת הרצף של שמואל אטינגר לבין הביקורת של דוד אנגל על עצם השימוש במושג. הפרק השני עוסק בפרשת דרייפוס: ברקע הפוליטי והחברתי של הרפובליקה השלישית, בשלבי הפרשה ובמשמעותה כמבחן לאמנציפציה. הפרק השלישי מוקדש לתפקידו של אמיל זולא ולמכתבו "אני מאשים", שהפך את "המקרה" ל"פרשה" ועורר את גל האלימות האנטי־יהודית של שנת 1898. הפרק הרביעי סוקר את הרקע הביוגרפי של הרצל ואת עמדותיו המוקדמות – מהתבוללות והצעות לטבילה המונית ועד למחזה "הגטו החדש". הפרק החמישי מנתח את המעבר עצמו: את דיווחיו של הרצל מפריז, את יומנו הציוני מקיץ 1895 ואת "מדינת היהודים". הפרק השישי בוחן את הוויכוח ההיסטוריוגרפי בין המסורת הביוגרפית שהעמידה את הפרשה במרכז (אלכס ביין, עמוס אלון) לבין הביקורת של ז'ק קורנברג ושלמה אבינרי, ומציע הכרעה מנומקת בשאלת המחקר. הסיכום חוזר אל השאלה ומציע תשובה מסכמת.</w:t>
      </w:r>
    </w:p>
    <w:p>
      <w:pPr>
        <w:bidi/>
        <w:spacing w:after="120" w:line="360" w:lineRule="auto"/>
        <w:jc w:val="both"/>
      </w:pPr>
      <w:r>
        <w:rPr>
          <w:rFonts w:ascii="David" w:cs="David" w:eastAsia="David" w:hAnsi="David"/>
          <w:sz w:val="24"/>
          <w:szCs w:val="24"/>
          <w:rtl/>
        </w:rPr>
        <w:t xml:space="preserve">מבחינה מתודולוגית, העבודה נשענת על שני סוגי מקורות. המקורות הראשוניים העיקריים הם כתביו של הרצל עצמו: יומניו הציוניים, שהחל לכתוב ביוני 1895 ואשר בהם תיאר את התגבשות הרעיון בזמן אמת; החוברת "מדינת היהודים"; המחזה "הגטו החדש"; ומאמרו הרטרוספקטיבי "ציונות" משנת 1899. לצדם ייבחנו מקורות ראשוניים מן הצד הצרפתי: "צרפת המיוהדת" של דרימון ומכתבו של זולא "אני מאשים". המקורות המחקריים כוללים את הביוגרפיות הקלאסיות של הרצל ואת המחקר הביקורתי החדש עליו, את הספרות על פרשת דרייפוס (ז'אן־דני ברדן, פולה היימן, סטיבן וילסון, מייקל מרוס, רות האריס) ואת המחקר על האנטישמיות המודרנית (אטינגר, יעקב כ"ץ, שולמית וולקוב, פיטר פולצר ואחרים). ההשוואה בין מה שכתב הרצל בזמן אמת לבין מה שסיפר בדיעבד היא הציר המתודולוגי המרכזי של העבודה, שכן דווקא הפער בין השניים הוא המפתח להבנת מקומה של פרשת דרייפוס בהתפתחות הגותו.</w:t>
      </w:r>
    </w:p>
    <w:p>
      <w:pPr>
        <w:pStyle w:val="Heading1"/>
        <w:bidi/>
        <w:spacing w:after="160" w:before="360" w:line="360"/>
        <w:jc w:val="right"/>
      </w:pPr>
      <w:r>
        <w:rPr>
          <w:rFonts w:ascii="David" w:cs="David" w:eastAsia="David" w:hAnsi="David"/>
          <w:b/>
          <w:bCs/>
          <w:sz w:val="32"/>
          <w:szCs w:val="32"/>
          <w:rtl/>
        </w:rPr>
        <w:t xml:space="preserve">פרק א: האנטישמיות המודרנית במאה התשע עשרה – רקע מושגי והיסטורי</w:t>
      </w:r>
    </w:p>
    <w:p>
      <w:pPr>
        <w:pStyle w:val="Heading2"/>
        <w:bidi/>
        <w:spacing w:after="160" w:before="240" w:line="360"/>
        <w:jc w:val="right"/>
      </w:pPr>
      <w:r>
        <w:rPr>
          <w:rFonts w:ascii="David" w:cs="David" w:eastAsia="David" w:hAnsi="David"/>
          <w:b/>
          <w:bCs/>
          <w:sz w:val="28"/>
          <w:szCs w:val="28"/>
          <w:rtl/>
        </w:rPr>
        <w:t xml:space="preserve">1. מושג ה"אנטישמיות" והוויכוח על ייחודה של שנאת היהודים המודרנית</w:t>
      </w:r>
    </w:p>
    <w:p>
      <w:pPr>
        <w:bidi/>
        <w:spacing w:after="120" w:line="360" w:lineRule="auto"/>
        <w:jc w:val="both"/>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"ניצחון היהדות על הגרמניות" וייסד את "ליגת האנטישמים". המונח החדש נועד להבדיל את שנאת היהודים החדשה, שהתיימרה להיות "מדעית" וחילונית, מן השנאה הדתית הנוצרית המסורתית: לא עוד יהודים הנשנאים בשל דתם ובשל סירובם לקבל את הנצרות, אלא "שמים" הנתפשים כגזע זר, שתכונותיו קבועות ואינן ניתנות לשינוי גם בעקבות המרת דת או התבוללות.</w:t>
      </w:r>
      <w:r>
        <w:rPr>
          <w:rStyle w:val="FootnoteReference"/>
        </w:rPr>
        <w:footnoteReference w:id="2"/>
      </w:r>
      <w:r>
        <w:rPr>
          <w:rFonts w:ascii="David" w:cs="David" w:eastAsia="David" w:hAnsi="David"/>
          <w:sz w:val="24"/>
          <w:szCs w:val="24"/>
          <w:rtl/>
        </w:rPr>
        <w:t xml:space="preserve"> הופעת המונח לא הייתה מקרית מבחינת העיתוי. שנת 1879 הייתה שנת מפנה בכמה ארצות בעת ובעונה אחת: בגרמניה נוסדה תנועת שטקר והתפרסם מאמרו של טרייצ'קה; בהונגריה החלה תסיסה שתגיע לשיאה בעלילת הדם בטיסה־אסלר (1882); ברוסיה פרצו כעבור שנתיים, בעקבות רצח הצאר אלכסנדר השני, "הסופות בנגב" – גל פרעות שהניע הגירה יהודית המונית מערבה ושהוליד את תנועת "חיבת ציון". ההגירה מן המזרח הזינה, מצדה, את הטענה האנטישמית במרכז אירופה ובמערבה בדבר "הצפה" יהודית. כ"ץ ראה בבו־זמניות זו ראיה לכך שהאנטישמיות המודרנית הייתה תופעה כלל־אירופית, שצמחה מן המשבר של החברה הליברלית ולא מנסיבות מקומיות בלבד.</w:t>
      </w:r>
      <w:r>
        <w:rPr>
          <w:rStyle w:val="FootnoteReference"/>
        </w:rPr>
        <w:footnoteReference w:id="3"/>
      </w:r>
    </w:p>
    <w:p>
      <w:pPr>
        <w:bidi/>
        <w:spacing w:after="120" w:line="360" w:lineRule="auto"/>
        <w:jc w:val="both"/>
      </w:pPr>
      <w:r>
        <w:rPr>
          <w:rFonts w:ascii="David" w:cs="David" w:eastAsia="David" w:hAnsi="David"/>
          <w:sz w:val="24"/>
          <w:szCs w:val="24"/>
          <w:rtl/>
        </w:rPr>
        <w:t xml:space="preserve">ההיסטוריון יעקב כ"ץ הראה כי המעבר "משנאת הדת לשלילת הגזע" לא היה חד, וכי בפועל שאבו האנטישמים המודרניים מן המאגר של דימויים נוצריים ותיקים – היהודי כרמאי, כמלווה בריבית וכגורם מפורר – והלבישו אותם בלבוש חדש של מדע הגזע, של כלכלה פוליטית ושל לאומיות.</w:t>
      </w:r>
      <w:r>
        <w:rPr>
          <w:rStyle w:val="FootnoteReference"/>
        </w:rPr>
        <w:footnoteReference w:id="4"/>
      </w:r>
    </w:p>
    <w:p>
      <w:pPr>
        <w:bidi/>
        <w:spacing w:after="120" w:line="360" w:lineRule="auto"/>
        <w:jc w:val="both"/>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שהוא גם נקודת המוצא של קורס זה. שמואל אטינגר ראה בשנאת היהודים תופעה בעלת קו רצף היסטורי: לדעתו, הדימוי השלילי של היהודי, שהתגבש בעולם ההלניסטי ובנצרות הקדומה, עבר מדור לדור כ"מסורת" תרבותית שאינה תלויה במציאות החברתית של היהודים בכל תקופה, ואשר בכל משבר היא נשלפת מחדש ומולבשת על נסיבות הזמן.</w:t>
      </w:r>
      <w:r>
        <w:rPr>
          <w:rStyle w:val="FootnoteReference"/>
        </w:rPr>
        <w:footnoteReference w:id="5"/>
      </w:r>
      <w:r>
        <w:rPr>
          <w:rFonts w:ascii="David" w:cs="David" w:eastAsia="David" w:hAnsi="David"/>
          <w:sz w:val="24"/>
          <w:szCs w:val="24"/>
          <w:rtl/>
        </w:rPr>
        <w:t xml:space="preserve"> עם זאת, אטינגר עצמו הכיר בייחודה של האנטישמיות המודרנית: היא הופיעה דווקא לאחר האמנציפציה, כתגובה על השתלבותם של היהודים בחברה ולא על בידודם; היא הייתה תנועה פוליטית מאורגנת ולא רק דעה קדומה; והיא הציגה את היהודים לא כמיעוט דתי כי אם ככוח מסתורי השולט בכלכלה, בעיתונות ובפוליטיקה.</w:t>
      </w:r>
      <w:r>
        <w:rPr>
          <w:rStyle w:val="FootnoteReference"/>
        </w:rPr>
        <w:footnoteReference w:id="6"/>
      </w:r>
    </w:p>
    <w:p>
      <w:pPr>
        <w:bidi/>
        <w:spacing w:after="120" w:line="360" w:lineRule="auto"/>
        <w:jc w:val="both"/>
      </w:pPr>
      <w:r>
        <w:rPr>
          <w:rFonts w:ascii="David" w:cs="David" w:eastAsia="David" w:hAnsi="David"/>
          <w:sz w:val="24"/>
          <w:szCs w:val="24"/>
          <w:rtl/>
        </w:rPr>
        <w:t xml:space="preserve">מנגד, ההיסטוריון דוד אנגל טען בשנים האחרונות כי עצם השימוש במושג "אנטישמיות" כקטגוריה אנליטית מטשטש יותר משהוא מאיר. לדבריו, המושג כורך יחד תופעות שונות בתכלית – חקיקה מפלה, אלימות המונים, תעמולה מפלגתית, דעות קדומות פרטיות – ומניח מראש קו רצף ביניהן, במקום להסביר כל תופעה בהקשרה. אנגל הציע לזנוח את המושג ולחקור את יחסי היהודים עם סביבתם הלא־יהודית באופן קונקרטי, ללא הנחה מוקדמת בדבר "אנטישמיות" נצחית.</w:t>
      </w:r>
      <w:r>
        <w:rPr>
          <w:rStyle w:val="FootnoteReference"/>
        </w:rPr>
        <w:footnoteReference w:id="7"/>
      </w:r>
      <w:r>
        <w:rPr>
          <w:rFonts w:ascii="David" w:cs="David" w:eastAsia="David" w:hAnsi="David"/>
          <w:sz w:val="24"/>
          <w:szCs w:val="24"/>
          <w:rtl/>
        </w:rPr>
        <w:t xml:space="preserve"> סוזנה השל השיבה לאנגל כי הוויתור על המושג עלול להעלים מן המחקר דווקא את הממדים הרגשיים והחושיים של השנאה – את הסלידה, את הפחד ואת התשוקה – שאינם ניתנים לרדוקציה לנסיבות פוליטיות מקומיות, וכי ההשוואה לחקר הגזענות מלמדת שאפשר לחקור תופעה חוצת־תקופות מבלי להניח את מהותה מראש.</w:t>
      </w:r>
      <w:r>
        <w:rPr>
          <w:rStyle w:val="FootnoteReference"/>
        </w:rPr>
        <w:footnoteReference w:id="8"/>
      </w:r>
    </w:p>
    <w:p>
      <w:pPr>
        <w:bidi/>
        <w:spacing w:after="120" w:line="360" w:lineRule="auto"/>
        <w:jc w:val="both"/>
      </w:pPr>
      <w:r>
        <w:rPr>
          <w:rFonts w:ascii="David" w:cs="David" w:eastAsia="David" w:hAnsi="David"/>
          <w:sz w:val="24"/>
          <w:szCs w:val="24"/>
          <w:rtl/>
        </w:rPr>
        <w:t xml:space="preserve">לוויכוח זה יש חשיבות ישירה לדיון בהרצל. אם נאמץ את גישת הרצף של אטינגר, ניטה לראות בפרשת דרייפוס גילוי נוסף של שנאה עתיקה, שהרצל "גילה" אותה בפריז; אם נאמץ את גישתו של אנגל, נידרש להסביר את תגובתו של הרצל בהקשר קונקרטי – הפוליטיקה הווינאית, מעמדו כעיתונאי, זהותו כיהודי מתבולל – ולא כתגובה ל"אנטישמיות" מופשטת. כפי שיתברר, דווקא הגישה השנייה מסייעת להבין מדוע לא הייתה הפרשה מבחינת הרצל אירוע מכונן בזמן אמת, ומדוע הפכה לכזה רק בדיעבד.</w:t>
      </w:r>
    </w:p>
    <w:p>
      <w:pPr>
        <w:pStyle w:val="Heading2"/>
        <w:bidi/>
        <w:spacing w:after="160" w:before="240" w:line="360"/>
        <w:jc w:val="right"/>
      </w:pPr>
      <w:r>
        <w:rPr>
          <w:rFonts w:ascii="David" w:cs="David" w:eastAsia="David" w:hAnsi="David"/>
          <w:b/>
          <w:bCs/>
          <w:sz w:val="28"/>
          <w:szCs w:val="28"/>
          <w:rtl/>
        </w:rPr>
        <w:t xml:space="preserve">2. הופעתה של האנטישמיות הפוליטית בגרמניה ובאוסטריה</w:t>
      </w:r>
    </w:p>
    <w:p>
      <w:pPr>
        <w:bidi/>
        <w:spacing w:after="120" w:line="360" w:lineRule="auto"/>
        <w:jc w:val="both"/>
      </w:pPr>
      <w:r>
        <w:rPr>
          <w:rFonts w:ascii="David" w:cs="David" w:eastAsia="David" w:hAnsi="David"/>
          <w:sz w:val="24"/>
          <w:szCs w:val="24"/>
          <w:rtl/>
        </w:rPr>
        <w:t xml:space="preserve">האנטישמיות המודרנית כתנועה פוליטית הופיעה בגרמניה בשלהי שנות השבעים של המאה התשע עשרה, על רקע המשבר הכלכלי שפרץ בשנת 1873 ("משבר המייסדים") והמשבר הפוליטי של הליברליזם הגרמני. בשנת 1878 ייסד הכומר החצרוני אדולף שטקר את "מפלגת הפועלים הנוצרית־סוציאלית", שפנתה אל המעמד הבינוני הנמוך בברלין בסיסמאות נגד "ההון היהודי" ונגד "העיתונות היהודית". בנובמבר 1879 פרסם ההיסטוריון היינריך פון טרייצ'קה, מן הדמויות המכובדות ביותר באקדמיה הגרמנית, מאמר שבו קבע כי "היהודים הם אסוננו" –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ואשר עליה חתמו כרבע מיליון איש.</w:t>
      </w:r>
      <w:r>
        <w:rPr>
          <w:rStyle w:val="FootnoteReference"/>
        </w:rPr>
        <w:footnoteReference w:id="9"/>
      </w:r>
      <w:r>
        <w:rPr>
          <w:rFonts w:ascii="David" w:cs="David" w:eastAsia="David" w:hAnsi="David"/>
          <w:sz w:val="24"/>
          <w:szCs w:val="24"/>
          <w:rtl/>
        </w:rPr>
        <w:t xml:space="preserve"> במקביל פרסם הפילוסוף אויגן דירינג את חיבורו "השאלה היהודית כשאלה של גזע, מוסר ותרבות" (1881), שהציג את היהודים כגזע נחות ומזיק שאין לו תקנה – חיבור שהרצל הצעיר קרא בשנת 1882 ושעליו ידובר להלן.</w:t>
      </w:r>
    </w:p>
    <w:p>
      <w:pPr>
        <w:bidi/>
        <w:spacing w:after="120" w:line="360" w:lineRule="auto"/>
        <w:jc w:val="both"/>
      </w:pPr>
      <w:r>
        <w:rPr>
          <w:rFonts w:ascii="David" w:cs="David" w:eastAsia="David" w:hAnsi="David"/>
          <w:sz w:val="24"/>
          <w:szCs w:val="24"/>
          <w:rtl/>
        </w:rPr>
        <w:t xml:space="preserve">ההיסטוריונית שולמית וולקוב הציעה מסגרת פרשנית משפיעה להבנת האנטישמיות הגרמנית של הרייך השני. לטענתה, בשלהי המאה התשע עשרה הפכה האנטישמיות ל"קוד תרבותי": הצהרת עמדה אנטי־יהודית לא ביטאה בהכרח עמדה מגובשת בשאלת היהודים, אלא שימשה סימן היכר להשתייכות למחנה תרבותי־פוליטי שלם – שמרני, לאומי, אנטי־ליברלי, אנטי־סוציאליסטי, מתגעגע לחברה הרמונית קדם־תעשייתית. באותה מידה שימשה ההתנגדות לאנטישמיות סימן להשתייכות למחנה הליברלי והדמוקרטי. כך הפכה "השאלה היהודית" לסמל במאבק על דמותה של גרמניה, גם כשמספר היהודים בה לא עלה על אחוז אחד מן האוכלוסייה.</w:t>
      </w:r>
      <w:r>
        <w:rPr>
          <w:rStyle w:val="FootnoteReference"/>
        </w:rPr>
        <w:footnoteReference w:id="10"/>
      </w:r>
      <w:r>
        <w:rPr>
          <w:rFonts w:ascii="David" w:cs="David" w:eastAsia="David" w:hAnsi="David"/>
          <w:sz w:val="24"/>
          <w:szCs w:val="24"/>
          <w:rtl/>
        </w:rPr>
        <w:t xml:space="preserve"> רעיון הקוד התרבותי חשוב לענייננו משתי סיבות: ראשית, כפי שיוצע בפרק השני, הוא ישים במידה רבה גם למקרה הצרפתי, שבו הפכה העמדה כלפי דרייפוס לסימן היכר של מחנות פוליטיים שלמים; שנית, הוא מסביר מדוע יכול היה יהודי מתבולל כהרצל לחיות שנים ארוכות בסביבה שבה האנטישמיות רווחת, מבלי לראות בה איום קיומי – שכן היא נתפשה כרטוריקה של מחנה ולא כתוכנית פעולה.</w:t>
      </w:r>
    </w:p>
    <w:p>
      <w:pPr>
        <w:bidi/>
        <w:spacing w:after="120" w:line="360" w:lineRule="auto"/>
        <w:jc w:val="both"/>
      </w:pPr>
      <w:r>
        <w:rPr>
          <w:rFonts w:ascii="David" w:cs="David" w:eastAsia="David" w:hAnsi="David"/>
          <w:sz w:val="24"/>
          <w:szCs w:val="24"/>
          <w:rtl/>
        </w:rPr>
        <w:t xml:space="preserve">באוסטריה לבשה האנטישמיות הפוליטית צורה שונה וחריפה יותר. גיאורג פון שנרר, מנהיג התנועה הפאן־גרמנית, הציג למן שנות השמונים תפישה גזעית מובהקת, שלפיה אין יהודי יכול להיות גרמני, ודרש חקיקה מיוחדת נגד היהודים; בשנת 1885 הוסיף ל"תוכנית לינץ" של תנועתו סעיף שדרש להרחיק את "ההשפעה היהודית" מכל תחומי החיים הציבוריים.</w:t>
      </w:r>
      <w:r>
        <w:rPr>
          <w:rStyle w:val="FootnoteReference"/>
        </w:rPr>
        <w:footnoteReference w:id="11"/>
      </w:r>
      <w:r>
        <w:rPr>
          <w:rFonts w:ascii="David" w:cs="David" w:eastAsia="David" w:hAnsi="David"/>
          <w:sz w:val="24"/>
          <w:szCs w:val="24"/>
          <w:rtl/>
        </w:rPr>
        <w:t xml:space="preserve"> ואולם ההצלחה הפוליטית הגדולה נפלה בחלקו של קרל לואגר ומפלגתו הנוצרית־סוציאלית, ששילבה אנטישמיות עממית עם קתוליות שמרנית ועם רפורמות מוניציפליות, ופנתה אל בעלי המלאכה, הזעיר־בורגנים והפקידים הזוטרים של וינה, שחשו מאוימים מן הקפיטליזם ומן הליברליזם המזוהים בעיניהם עם היהודים. בבחירות לעיריית וינה באביב 1895 זכתה המפלגה הנוצרית־סוציאלית ברוב, ולואגר נבחר לראש העירייה – בחירה שהקיסר פרנץ יוזף סירב לאשר במשך שנתיים, עד שנכנע באפריל 1897.</w:t>
      </w:r>
      <w:r>
        <w:rPr>
          <w:rStyle w:val="FootnoteReference"/>
        </w:rPr>
        <w:footnoteReference w:id="12"/>
      </w:r>
      <w:r>
        <w:rPr>
          <w:rFonts w:ascii="David" w:cs="David" w:eastAsia="David" w:hAnsi="David"/>
          <w:sz w:val="24"/>
          <w:szCs w:val="24"/>
          <w:rtl/>
        </w:rPr>
        <w:t xml:space="preserve"> היסטוריונים דנו רבות בשאלת "האותנטיות" של האנטישמיות של לואגר – האם האמין בדבריו או השתמש בהם ככלי ציני לגיוס המונים – אך מבחינת יהודי וינה, ובהם הרצל, לא הייתה לשאלה זו חשיבות: לראשונה בתולדות אירופה המודרנית זכתה מפלגה שדגלה בגלוי באנטישמיות בשלטון בעיר בירה גדולה, ובעיר שבה היו היהודים כתשעה אחוזים מן התושבים.</w:t>
      </w:r>
      <w:r>
        <w:rPr>
          <w:rStyle w:val="FootnoteReference"/>
        </w:rPr>
        <w:footnoteReference w:id="13"/>
      </w:r>
    </w:p>
    <w:p>
      <w:pPr>
        <w:bidi/>
        <w:spacing w:after="120" w:line="360" w:lineRule="auto"/>
        <w:jc w:val="both"/>
      </w:pPr>
      <w:r>
        <w:rPr>
          <w:rFonts w:ascii="David" w:cs="David" w:eastAsia="David" w:hAnsi="David"/>
          <w:sz w:val="24"/>
          <w:szCs w:val="24"/>
          <w:rtl/>
        </w:rPr>
        <w:t xml:space="preserve">עלייתו של לואגר השפיעה גם על החברה היהודית בווינה עצמה. לואיזה ודיטר הכט הראו כיצד הביאה התנועה האנטישמית לפוליטיזציה של יהודי וינה: לצד הרוב, שהמשיך לדבוק בליברליזם "גם כאשר נשם את נשימותיו האחרונות", קמו בשנות השמונים והתשעים אגודות סטודנטים יהודיות־לאומיות – "קדימה" (1882) ואחרות – שדחו את ההתבוללות וקדמו להופעתו של הרצל בשנים רבות. תופעה זו מלמדת שהרעיון הלאומי היהודי היה כבר "באוויר" של וינה בטרם ניסח אותו הרצל, ושהמפנה שלו לא היה יצירה יש מאין אלא הצטרפות מאוחרת – ואף בלי ידיעה, כפי שהודה בעצמו – למגמה קיימת. גם המרות דת, שהיו בווינה תופעה רחבת היקף, היו תגובה אחרת לאותה מציאות, ותוכניתו של הרצל משנת 1893 להוביל את יהודי אוסטריה לטבילה המונית, שתידון בפרק הרביעי, יש להבינה על רקע זה.</w:t>
      </w:r>
      <w:r>
        <w:rPr>
          <w:rStyle w:val="FootnoteReference"/>
        </w:rPr>
        <w:footnoteReference w:id="14"/>
      </w:r>
    </w:p>
    <w:p>
      <w:pPr>
        <w:bidi/>
        <w:spacing w:after="120" w:line="360" w:lineRule="auto"/>
        <w:jc w:val="both"/>
      </w:pPr>
      <w:r>
        <w:rPr>
          <w:rFonts w:ascii="David" w:cs="David" w:eastAsia="David" w:hAnsi="David"/>
          <w:sz w:val="24"/>
          <w:szCs w:val="24"/>
          <w:rtl/>
        </w:rPr>
        <w:t xml:space="preserve">קרל שורסקה תיאר את שנרר, לואגר והרצל כ"שלישייה אוסטרית" – שלושה מנהיגים שכל אחד מהם יצר "פוליטיקה בסולם חדש": פוליטיקה של המונים, של רגש ושל פנטזיה, שבאה במקום הפוליטיקה הרציונלית והפרלמנטרית של הליברליזם. לפי שורסקה, הרצל לא רק הגיב על האנטישמיות של לואגר ושנרר, אלא למד ממנה את שפת ההמונים, את חשיבות הסמלים והטקסים ואת כוחו של המנהיג הכריזמטי – ובמובן זה היה תלמידם לא פחות משהיה יריבם.</w:t>
      </w:r>
      <w:r>
        <w:rPr>
          <w:rStyle w:val="FootnoteReference"/>
        </w:rPr>
        <w:footnoteReference w:id="15"/>
      </w:r>
      <w:r>
        <w:rPr>
          <w:rFonts w:ascii="David" w:cs="David" w:eastAsia="David" w:hAnsi="David"/>
          <w:sz w:val="24"/>
          <w:szCs w:val="24"/>
          <w:rtl/>
        </w:rPr>
        <w:t xml:space="preserve"> תובנה זו תשמש אותנו בפרק החמישי, שבו ייבחן מקומה של וינה, ולא של פריז, בהתגבשות הרעיון הציוני של הרצל.</w:t>
      </w:r>
    </w:p>
    <w:p>
      <w:pPr>
        <w:pStyle w:val="Heading2"/>
        <w:bidi/>
        <w:spacing w:after="160" w:before="240" w:line="360"/>
        <w:jc w:val="right"/>
      </w:pPr>
      <w:r>
        <w:rPr>
          <w:rFonts w:ascii="David" w:cs="David" w:eastAsia="David" w:hAnsi="David"/>
          <w:b/>
          <w:bCs/>
          <w:sz w:val="28"/>
          <w:szCs w:val="28"/>
          <w:rtl/>
        </w:rPr>
        <w:t xml:space="preserve">3. צרפת: אנטישמיות בארץ האמנציפציה</w:t>
      </w:r>
    </w:p>
    <w:p>
      <w:pPr>
        <w:bidi/>
        <w:spacing w:after="120" w:line="360" w:lineRule="auto"/>
        <w:jc w:val="both"/>
      </w:pPr>
      <w:r>
        <w:rPr>
          <w:rFonts w:ascii="David" w:cs="David" w:eastAsia="David" w:hAnsi="David"/>
          <w:sz w:val="24"/>
          <w:szCs w:val="24"/>
          <w:rtl/>
        </w:rPr>
        <w:t xml:space="preserve">צרפת נחשבת בצדק למולדת האמנציפציה היהודית: יהודיה זכו בשוויון זכויות כבר בשנים 1790–1791, בעקבות המהפכה, ומעמדם המשפטי נותר יציב לאורך כל המאה התשע עשרה, חרף חילופי המשטר התכופים. השתלבותם של יהודי צרפת במדינה הייתה עמוקה יותר מאשר בכל ארץ אחרת באירופה: יהודים שימשו כקצינים בצבא, כפקידים בכירים במִנהל וכפרופסורים באוניברסיטאות – משרות שבגרמניה הקיסרית נמנעו מיהודים שלא המירו את דתם. פולה היימן הראתה כי יהודי צרפת ראו במהפכה את "מעמד הר סיני" השני שלהם, וכי בשנת 1889, ביובל המאה למהפכה, חגגו את השתלבותם המלאה באומה הצרפתית מתוך תחושת ביטחון עמוקה.</w:t>
      </w:r>
      <w:r>
        <w:rPr>
          <w:rStyle w:val="FootnoteReference"/>
        </w:rPr>
        <w:footnoteReference w:id="16"/>
      </w:r>
    </w:p>
    <w:p>
      <w:pPr>
        <w:bidi/>
        <w:spacing w:after="120" w:line="360" w:lineRule="auto"/>
        <w:jc w:val="both"/>
      </w:pPr>
      <w:r>
        <w:rPr>
          <w:rFonts w:ascii="David" w:cs="David" w:eastAsia="David" w:hAnsi="David"/>
          <w:sz w:val="24"/>
          <w:szCs w:val="24"/>
          <w:rtl/>
        </w:rPr>
        <w:t xml:space="preserve">ואולם דווקא בצרפת הופיעה בשנות השמונים תעמולה אנטישמית מן החריפות ביותר באירופה. הרפובליקה השלישית, שנוסדה בשנת 1870 בעקבות התבוסה לפרוסיה, הייתה משטר שנוי במחלוקת עמוקה: מול הממסד הרפובליקני, החילוני והליברלי, שראה את עצמו כיורש המהפכה, עמד מחנה שמרני, קתולי ומונרכיסטי, שראה במהפכה חטא קדמון ובקתוליות חלק מהותי מן הזהות הצרפתית. במאבק זה על אופייה "האמיתי" של צרפת נעשו היהודים לסמל: בעיני מתנגדי הרפובליקה הם גילמו את כל מה ששנאו בה – החילוניות, הקפיטליזם, הפרלמנטריזם, המודרניות – ואף את הזיקה לאויב הגרמני, שכן רבים מיהודי צרפת, ובהם משפחת דרייפוס, באו מאלזס־לורן שסופחה לגרמניה בשנת 1871.</w:t>
      </w:r>
      <w:r>
        <w:rPr>
          <w:rStyle w:val="FootnoteReference"/>
        </w:rPr>
        <w:footnoteReference w:id="17"/>
      </w:r>
    </w:p>
    <w:p>
      <w:pPr>
        <w:bidi/>
        <w:spacing w:after="120" w:line="360" w:lineRule="auto"/>
        <w:jc w:val="both"/>
      </w:pPr>
      <w:r>
        <w:rPr>
          <w:rFonts w:ascii="David" w:cs="David" w:eastAsia="David" w:hAnsi="David"/>
          <w:sz w:val="24"/>
          <w:szCs w:val="24"/>
          <w:rtl/>
        </w:rPr>
        <w:t xml:space="preserve">הביטוי המובהק ביותר לתעמולה זו היה ספרו של אדואר דרימון "צרפת המיוהדת" (1886), שזכה להצלחה מסחרית עצומה – למעלה ממאה מהדורות בתוך שנים ספורות. דרימון שילב בספרו את כל זרמי האנטישמיות של זמנו: את השנאה הקתולית המסורתית, את הביקורת הסוציאלית על ההון הפיננסי ואת תורת הגזע החדשה. הוא תיאר את היהודים כגזע שמי בעל תכונות קבועות – חמדנות, ערמומיות, חוסר כושר יצירה, "רוח סוחר" – המנוגד בכל לגזע הארי הצרפתי, האצילי והיוצר; ותיאר את תולדות צרפת מאז המהפכה כסיפור של השתלטות יהודית הדרגתית על הכלכלה, על העיתונות ועל השלטון, השתלטות שהממשלה הרפובליקנית משתפת עמה פעולה. הפתרון שהציע – הפקעת רכושם של היהודים והרחקתם מן החיים הציבוריים – נוסח מתוך פסימיות ביחס לסיכויי הגשמתו, אך הוא הכין את הקרקע לתפישה שלפיה יהודי אינו יכול להיות צרפתי נאמן.</w:t>
      </w:r>
      <w:r>
        <w:rPr>
          <w:rStyle w:val="FootnoteReference"/>
        </w:rPr>
        <w:footnoteReference w:id="18"/>
      </w:r>
      <w:r>
        <w:rPr>
          <w:rFonts w:ascii="David" w:cs="David" w:eastAsia="David" w:hAnsi="David"/>
          <w:sz w:val="24"/>
          <w:szCs w:val="24"/>
          <w:rtl/>
        </w:rPr>
        <w:t xml:space="preserve"> בשנת 1892 ייסד דרימון את היומון "לה ליבר פארול" ("הדיבור החופשי"), שהיה לשופר האנטישמיות הצרפתית ושמילא, כפי שיתואר להלן, תפקיד מרכזי בפרשת דרייפוס; ובאותה שנה סיפקה שערוריית פנמה – פרשת שחיתות ענקית שבה היו מעורבים כמה מתווכים יהודים – חומר בעירה נוסף לתעמולתו.</w:t>
      </w:r>
    </w:p>
    <w:p>
      <w:pPr>
        <w:bidi/>
        <w:spacing w:after="120" w:line="360" w:lineRule="auto"/>
        <w:jc w:val="both"/>
      </w:pPr>
      <w:r>
        <w:rPr>
          <w:rFonts w:ascii="David" w:cs="David" w:eastAsia="David" w:hAnsi="David"/>
          <w:sz w:val="24"/>
          <w:szCs w:val="24"/>
          <w:rtl/>
        </w:rPr>
        <w:t xml:space="preserve">היימן הצביעה על פער מעניין: בעוד הרטוריקה האנטישמית של דרימון וחבריו זכתה להצלחה ציבורית רבה, הצלחתה הפוליטית הייתה מוגבלת. בניגוד לגרמניה ולאוסטריה, לא קמה בצרפת מפלגה אנטישמית של ממש, וגם בשיא הפרשה לא זכו המועמדים האנטישמים אלא לכמה עשרות מושבים בבית הנבחרים, רובם מאלג'יריה. את הפער אפשר להסביר בעוצמתה של המסורת הרפובליקנית ובכך שהאנטישמיות הצרפתית נותרה בעיקרה תופעה של אופוזיציה, של מי שדחו את הרפובליקה עצמה.</w:t>
      </w:r>
      <w:r>
        <w:rPr>
          <w:rStyle w:val="FootnoteReference"/>
        </w:rPr>
        <w:footnoteReference w:id="19"/>
      </w:r>
      <w:r>
        <w:rPr>
          <w:rFonts w:ascii="David" w:cs="David" w:eastAsia="David" w:hAnsi="David"/>
          <w:sz w:val="24"/>
          <w:szCs w:val="24"/>
          <w:rtl/>
        </w:rPr>
        <w:t xml:space="preserve"> ואולם, כפי שיתברר, דווקא בשל כך יכלה פרשת דרייפוס להפוך למאבק על עצם קיומה של הרפובליקה, ולעמוד במוקד הפוליטיקה הצרפתית במשך שנים – בניגוד לאנטישמיות הגרמנית, שנותרה בשולי הפוליטיקה. ההבדל בין המקרים – אנטישמיות מפלגתית שולית אך מושרשת בגרמניה ובאוסטריה, לעומת אנטישמיות רטורית עוצמתית אך פוליטית חלשה בצרפת – יסייע להסביר מדוע ראה הרצל, איש וינה, בפרשת דרייפוס אישור לחששות שנולדו בבית, ולא גילוי חדש.</w:t>
      </w:r>
    </w:p>
    <w:p>
      <w:pPr>
        <w:pStyle w:val="Heading1"/>
        <w:bidi/>
        <w:spacing w:after="160" w:before="360" w:line="360"/>
        <w:jc w:val="right"/>
      </w:pPr>
      <w:r>
        <w:rPr>
          <w:rFonts w:ascii="David" w:cs="David" w:eastAsia="David" w:hAnsi="David"/>
          <w:b/>
          <w:bCs/>
          <w:sz w:val="32"/>
          <w:szCs w:val="32"/>
          <w:rtl/>
        </w:rPr>
        <w:t xml:space="preserve">פרק ב: פרשת דרייפוס – רקע היסטורי, השתלשלות והשלכות</w:t>
      </w:r>
    </w:p>
    <w:p>
      <w:pPr>
        <w:pStyle w:val="Heading2"/>
        <w:bidi/>
        <w:spacing w:after="160" w:before="240" w:line="360"/>
        <w:jc w:val="right"/>
      </w:pPr>
      <w:r>
        <w:rPr>
          <w:rFonts w:ascii="David" w:cs="David" w:eastAsia="David" w:hAnsi="David"/>
          <w:b/>
          <w:bCs/>
          <w:sz w:val="28"/>
          <w:szCs w:val="28"/>
          <w:rtl/>
        </w:rPr>
        <w:t xml:space="preserve">1. המקרה: מעצרו והרשעתו של דרייפוס (1894–1895)</w:t>
      </w:r>
    </w:p>
    <w:p>
      <w:pPr>
        <w:bidi/>
        <w:spacing w:after="120" w:line="360" w:lineRule="auto"/>
        <w:jc w:val="both"/>
      </w:pPr>
      <w:r>
        <w:rPr>
          <w:rFonts w:ascii="David" w:cs="David" w:eastAsia="David" w:hAnsi="David"/>
          <w:sz w:val="24"/>
          <w:szCs w:val="24"/>
          <w:rtl/>
        </w:rPr>
        <w:t xml:space="preserve">אלפרד דרייפוס נולד בשנת 1859 במילוז שבאלזס, למשפחת תעשייני טקסטיל יהודית אמידה. לאחר סיפוח אלזס לגרמניה בחרה המשפחה באזרחות צרפתית, ואלפרד, שגדל על ברכי הפטריוטיות הצרפתית ושאיפת הנקם על תבוסת 1870, בחר בקריירה צבאית: הוא סיים את בית הספר הפוליטכני ואת בית הספר הגבוה למלחמה, והיה בשנת 1893 לקצין היהודי היחיד שהוצב כמתלמד במטה הכללי. מבחינה זו היה דרייפוס התגלמות של הצלחת האמנציפציה הצרפתית – ובעיני שונאיו, התגלמות של חדירת היהודים ללב־ליבה של האומה.</w:t>
      </w:r>
      <w:r>
        <w:rPr>
          <w:rStyle w:val="FootnoteReference"/>
        </w:rPr>
        <w:footnoteReference w:id="20"/>
      </w:r>
    </w:p>
    <w:p>
      <w:pPr>
        <w:bidi/>
        <w:spacing w:after="120" w:line="360" w:lineRule="auto"/>
        <w:jc w:val="both"/>
      </w:pPr>
      <w:r>
        <w:rPr>
          <w:rFonts w:ascii="David" w:cs="David" w:eastAsia="David" w:hAnsi="David"/>
          <w:sz w:val="24"/>
          <w:szCs w:val="24"/>
          <w:rtl/>
        </w:rPr>
        <w:t xml:space="preserve">בספטמבר 1894 הגיע לידי לשכת המודיעין של הצבא הצרפתי מסמך – ה"בורדרו" – שנשלף מסל האשפה של הנספח הצבאי הגרמני בפריז, ובו רשימת מסמכים צבאיים שכותבו האלמוני הציע למסור לגרמנים. החקירה, שהתנהלה בחיפזון ובאווירה של חשדנות, התמקדה עד מהרה בדרייפוס, על יסוד דמיון מפוקפק בכתב היד ועל יסוד "ראיות" נסיבתיות: מוצאו האלזסי, ידיעת הגרמנית, אמידותו ו"סקרנותו" המוגזמת. דרייפוס נעצר ב-15 באוקטובר 1894 בטקס מבוים שבו הוכתב לו טקסט ה"בורדרו". ב-1 בנובמבר פרסם "לה ליבר פארול" של דרימון את דבר המעצר תחת הכותרת "בגידה: מעצרו של הקצין היהודי א' דרייפוס", ובכך הפך את החקירה הצבאית לעניין ציבורי ואת הקצין החשוד ל"יהודי הבוגד". מאותו רגע הפעילה העיתונות האנטישמית לחץ עצום על משרד המלחמה שלא "לוותר ליהודים", ולחץ זה תרם להחלטה להעמיד את דרייפוס לדין למרות חולשת הראיות.</w:t>
      </w:r>
      <w:r>
        <w:rPr>
          <w:rStyle w:val="FootnoteReference"/>
        </w:rPr>
        <w:footnoteReference w:id="21"/>
      </w:r>
    </w:p>
    <w:p>
      <w:pPr>
        <w:bidi/>
        <w:spacing w:after="120" w:line="360" w:lineRule="auto"/>
        <w:jc w:val="both"/>
      </w:pPr>
      <w:r>
        <w:rPr>
          <w:rFonts w:ascii="David" w:cs="David" w:eastAsia="David" w:hAnsi="David"/>
          <w:sz w:val="24"/>
          <w:szCs w:val="24"/>
          <w:rtl/>
        </w:rPr>
        <w:t xml:space="preserve">ה"ראיה" המרכזית בחקירה הייתה חוות דעתו של אלפונס ברטיון, ראש שירות הזיהוי של משטרת פריז וממציא שיטת הזיהוי האנתרופומטרית, שקבע כי דרייפוס כתב את ה"בורדרו" תוך "זיוף עצמי" מכוון של כתב ידו – תיאוריה מפותלת שגם בני הזמן התקשו להבינה, ואשר מומחים אחרים דחו. חולשת הראיות הייתה ידועה לקציני המטה הכללי, ובראשם המייג'ור די פאטי דה קלאם שניהל את החקירה, אך משפורסם דבר המעצר לא יכלו עוד לסגת: זיכוי היה מתפרש כהוכחה שהצבא רדף קצין חף מפשע בשל יהדותו, וכניעה ל"לחץ היהודי". כך נוצרה הדינמיקה שתאפיין את הפרשה כולה – ההגנה על "כבוד הצבא" כערך העולה על האמת העובדתית.</w:t>
      </w:r>
      <w:r>
        <w:rPr>
          <w:rStyle w:val="FootnoteReference"/>
        </w:rPr>
        <w:footnoteReference w:id="22"/>
      </w:r>
    </w:p>
    <w:p>
      <w:pPr>
        <w:bidi/>
        <w:spacing w:after="120" w:line="360" w:lineRule="auto"/>
        <w:jc w:val="both"/>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הגנרל מרסייה, לשופטים "תיק סודי" – אוסף מסמכים, חלקם חסרי משמעות וחלקם מזויפים – מבלי שההגנה ידעה על קיומו: מעשה בלתי חוקי שיהיה לימים לאחד מיסודות הביטול. ב-22 בדצמבר הורשע דרייפוס פה אחד בבגידה ונידון לגירוש עולם. ב-5 בינואר 1895 נערך טקס הורדת הדרגות בחצר בית הספר הצבאי בפריז: דרגותיו נתלשו וחרבו נשברה לעיני אלפי חיילים וקהל צופים, בעוד הוא זועק "אני חף מפשע! תחי צרפת!" ומן ההמון בקעו קריאות "מוות לבוגד!" – ולפי כמה עדויות גם "מוות ליהודים!". באפריל 1895 הובל דרייפוס לאי השדים שבגיאנה הצרפתית, שם החזיקו אותו בבידוד מוחלט במשך יותר מארבע שנים.</w:t>
      </w:r>
      <w:r>
        <w:rPr>
          <w:rStyle w:val="FootnoteReference"/>
        </w:rPr>
        <w:footnoteReference w:id="23"/>
      </w:r>
      <w:r>
        <w:rPr>
          <w:rFonts w:ascii="David" w:cs="David" w:eastAsia="David" w:hAnsi="David"/>
          <w:sz w:val="24"/>
          <w:szCs w:val="24"/>
          <w:rtl/>
        </w:rPr>
        <w:t xml:space="preserve"> בקרב הציבור הצרפתי, ובכלל זה בקרב רוב יהודי צרפת, לא היה בשלב זה ספק באשמתו: המשפט הצבאי היה בעיני בני הזמן מוסד שאין להטיל בו דופי.</w:t>
      </w:r>
    </w:p>
    <w:p>
      <w:pPr>
        <w:pStyle w:val="Heading2"/>
        <w:bidi/>
        <w:spacing w:after="160" w:before="240" w:line="360"/>
        <w:jc w:val="right"/>
      </w:pPr>
      <w:r>
        <w:rPr>
          <w:rFonts w:ascii="David" w:cs="David" w:eastAsia="David" w:hAnsi="David"/>
          <w:b/>
          <w:bCs/>
          <w:sz w:val="28"/>
          <w:szCs w:val="28"/>
          <w:rtl/>
        </w:rPr>
        <w:t xml:space="preserve">2. מ"מקרה" ל"פרשה": המאבק לביטול פסק הדין (1896–1899)</w:t>
      </w:r>
    </w:p>
    <w:p>
      <w:pPr>
        <w:bidi/>
        <w:spacing w:after="120" w:line="360" w:lineRule="auto"/>
        <w:jc w:val="both"/>
      </w:pPr>
      <w:r>
        <w:rPr>
          <w:rFonts w:ascii="David" w:cs="David" w:eastAsia="David" w:hAnsi="David"/>
          <w:sz w:val="24"/>
          <w:szCs w:val="24"/>
          <w:rtl/>
        </w:rPr>
        <w:t xml:space="preserve">במשך כשנתיים נראה היה שהמקרה נסגר. שני גורמים הפכו אותו לפרשה. הראשון היה מתיה דרייפוס, אחיו של הנידון, שהקדיש את כל מרצו והונו להוכחת חפותו של אחיו, וגייס לצדו את הפובליציסט היהודי ברנאר לאזאר. בנובמבר 1896 פרסם לאזאר בבריסל את חוברתו "טעות משפטית: האמת על פרשת דרייפוס", שהייתה הניסיון השיטתי הראשון להראות שדרייפוס הורשע בלא ראיות ומתוך דעה קדומה אנטי־יהודית.</w:t>
      </w:r>
      <w:r>
        <w:rPr>
          <w:rStyle w:val="FootnoteReference"/>
        </w:rPr>
        <w:footnoteReference w:id="24"/>
      </w:r>
      <w:r>
        <w:rPr>
          <w:rFonts w:ascii="David" w:cs="David" w:eastAsia="David" w:hAnsi="David"/>
          <w:sz w:val="24"/>
          <w:szCs w:val="24"/>
          <w:rtl/>
        </w:rPr>
        <w:t xml:space="preserve"> הגורם השני היה בלתי צפוי: הלוטננט־קולונל ז'ורז' פיקאר, ראש לשכת המודיעין החדש, שגילה במרץ 1896 כי כתב היד של ה"בורדרו" זהה לכתב ידו של הרוזן פרדינן ולסן־אסטרהזי, קצין חובות והרפתקן. משהביא פיקאר את ממצאיו לפני מפקדיו, הורו לו לשתוק, והוא הורחק לצפון אפריקה. אך פיקאר סיפר את הדברים לעורך דין, שסיפר אותם לסגן נשיא הסנאט אוגוסט שרר־קסטנר, ומנובמבר 1897 היה שמו של אסטרהזי ידוע ברבים. הצבא, שלא היה מוכן להודות בטעות, זימן את אסטרהזי למשפט צבאי מבוים, וב-11 בינואר 1898 זיכה אותו פה אחד.</w:t>
      </w:r>
      <w:r>
        <w:rPr>
          <w:rStyle w:val="FootnoteReference"/>
        </w:rPr>
        <w:footnoteReference w:id="25"/>
      </w:r>
    </w:p>
    <w:p>
      <w:pPr>
        <w:bidi/>
        <w:spacing w:after="120" w:line="360" w:lineRule="auto"/>
        <w:jc w:val="both"/>
      </w:pPr>
      <w:r>
        <w:rPr>
          <w:rFonts w:ascii="David" w:cs="David" w:eastAsia="David" w:hAnsi="David"/>
          <w:sz w:val="24"/>
          <w:szCs w:val="24"/>
          <w:rtl/>
        </w:rPr>
        <w:t xml:space="preserve">זיכויו של אסטרהזי הוא שהביא את אמיל זולא לפרסם, יומיים לאחר מכן, את מכתבו הפתוח "אני מאשים", שבו ידון הפרק הבא. ממכתב זה ואילך התפצלה צרפת לשני מחנות – "דרייפוסארים" ו"אנטי־דרייפוסארים" – והפרשה הפכה למאבק על דמותה של הרפובליקה. הדרייפוסארים – אנשי רוח, פרופסורים, סטודנטים, רדיקלים וסוציאליסטים (בראשם ז'ורז' קלמנסו וז'אן ז'ורס) – ראו במאבק לביטול פסק הדין מאבק על עקרונות המהפכה: זכויות הפרט, שלטון החוק והאמת נגד "טעם המדינה". האנטי־דרייפוסארים – הצבא, הכנסייה, המונרכיסטים, הלאומנים ועיתונות ההמונים – ראו בהגנה על פסק הדין הגנה על כבוד הצבא ועל האומה מפני "הסינדיקט" היהודי, שלטענתם קנה בכספו את התומכים בדרייפוס. באביב 1898 נולדה "ליגת זכויות האדם" הדרייפוסארית, ומנגד קמה "ליגת המולדת הצרפתית" הלאומנית; ז'ול גראן וההיסטוריון פייר בירנבאום הראו כיצד הפכו הימים שבין ינואר לאוקטובר 1898 ל"רגע האנטישמי" של צרפת, שבו התפרצו הפגנות ומהומות אנטי־יהודיות בעשרות ערים.</w:t>
      </w:r>
      <w:r>
        <w:rPr>
          <w:rStyle w:val="FootnoteReference"/>
        </w:rPr>
        <w:footnoteReference w:id="26"/>
      </w:r>
    </w:p>
    <w:p>
      <w:pPr>
        <w:bidi/>
        <w:spacing w:after="120" w:line="360" w:lineRule="auto"/>
        <w:jc w:val="both"/>
      </w:pPr>
      <w:r>
        <w:rPr>
          <w:rFonts w:ascii="David" w:cs="David" w:eastAsia="David" w:hAnsi="David"/>
          <w:sz w:val="24"/>
          <w:szCs w:val="24"/>
          <w:rtl/>
        </w:rPr>
        <w:t xml:space="preserve">באוגוסט 1898 חלה תפנית מכרעת: הקולונל אובר־ז'וזף אנרי, ממחברי "התיק הסודי", הודה כי זייף את המסמך המרכזי המפליל את דרייפוס, ולמחרת שם קץ לחייו בתא מעצרו. גם עתה סירבו הלאומנים להיכנע – שארל מוראס הכריז על אנרי "גיבור לאומי" ו"לה ליבר פארול" גייס למען אלמנתו "מגבית אנרי", שאליה תרמו עשרות אלפי צרפתים, רבים מהם בליווי הערות אנטישמיות בוטות, שסטיבן וילסון ניתח כמקור יחיד במינו להלכי הרוח האנטישמיים בצרפת.</w:t>
      </w:r>
      <w:r>
        <w:rPr>
          <w:rStyle w:val="FootnoteReference"/>
        </w:rPr>
        <w:footnoteReference w:id="27"/>
      </w:r>
      <w:r>
        <w:rPr>
          <w:rFonts w:ascii="David" w:cs="David" w:eastAsia="David" w:hAnsi="David"/>
          <w:sz w:val="24"/>
          <w:szCs w:val="24"/>
          <w:rtl/>
        </w:rPr>
        <w:t xml:space="preserve"> ואולם המערכת המשפטית נעה סוף סוף: ביוני 1899 ביטל בית המשפט העליון את פסק הדין של 1894 והורה על משפט צבאי חוזר. דרייפוס הושב מאי השדים, ובאוגוסט–ספטמבר 1899 נשפט שנית בעיר רן. בית הדין הצבאי, שלא היה מסוגל להודות בטעות הצבא, הרשיע אותו שוב – ברוב של חמישה נגד שניים ו"בנסיבות מקלות", פסק דין אבסורדי בעליל – ונידון לעשר שנות מאסר. כעבור עשרה ימים, ב-19 בספטמבר 1899, קיבל דרייפוס חנינה מנשיא הרפובליקה, מבלי שזוכה. רק ב-12 ביולי 1906 ביטל בית המשפט העליון את פסק הדין של רן ללא משפט חוזר, וטיהר את שמו של דרייפוס סופית. הוא הוחזר לצבא בדרגת מייג'ור וקיבל את עיטור לגיון הכבוד.</w:t>
      </w:r>
      <w:r>
        <w:rPr>
          <w:rStyle w:val="FootnoteReference"/>
        </w:rPr>
        <w:footnoteReference w:id="28"/>
      </w:r>
    </w:p>
    <w:p>
      <w:pPr>
        <w:pStyle w:val="Heading2"/>
        <w:bidi/>
        <w:spacing w:after="160" w:before="240" w:line="360"/>
        <w:jc w:val="right"/>
      </w:pPr>
      <w:r>
        <w:rPr>
          <w:rFonts w:ascii="David" w:cs="David" w:eastAsia="David" w:hAnsi="David"/>
          <w:b/>
          <w:bCs/>
          <w:sz w:val="28"/>
          <w:szCs w:val="28"/>
          <w:rtl/>
        </w:rPr>
        <w:t xml:space="preserve">3. משמעות הפרשה: מבחן לאמנציפציה</w:t>
      </w:r>
    </w:p>
    <w:p>
      <w:pPr>
        <w:bidi/>
        <w:spacing w:after="120" w:line="360" w:lineRule="auto"/>
        <w:jc w:val="both"/>
      </w:pPr>
      <w:r>
        <w:rPr>
          <w:rFonts w:ascii="David" w:cs="David" w:eastAsia="David" w:hAnsi="David"/>
          <w:sz w:val="24"/>
          <w:szCs w:val="24"/>
          <w:rtl/>
        </w:rPr>
        <w:t xml:space="preserve">מבחינה פוליטית הסתיימה הפרשה בניצחון חד־משמעי של הרפובליקה. הממשלה של ואלדק־רוסו (1899), שהוקמה כדי "להגן על הרפובליקה", ולאחריה ממשלת קומב, שברו את כוחם של הכוחות הקלריקליים והלאומניים; שיאו של התהליך היה חוק הפרדת הדת מן המדינה בשנת 1905. הפרשה הפכה, כפי שציין גיא מירון, לאירוע שאין לתאר בלעדיו את ההיסטוריה הפוליטית של הרפובליקה השלישית, בניגוד למפלגות האנטישמיות בגרמניה, שנותרו בשולי המערכת.</w:t>
      </w:r>
      <w:r>
        <w:rPr>
          <w:rStyle w:val="FootnoteReference"/>
        </w:rPr>
        <w:footnoteReference w:id="29"/>
      </w:r>
    </w:p>
    <w:p>
      <w:pPr>
        <w:bidi/>
        <w:spacing w:after="120" w:line="360" w:lineRule="auto"/>
        <w:jc w:val="both"/>
      </w:pPr>
      <w:r>
        <w:rPr>
          <w:rFonts w:ascii="David" w:cs="David" w:eastAsia="David" w:hAnsi="David"/>
          <w:sz w:val="24"/>
          <w:szCs w:val="24"/>
          <w:rtl/>
        </w:rPr>
        <w:t xml:space="preserve">ואולם משמעות הפרשה ליהודים הייתה מורכבת יותר. מצד אחד, כפי שהדגישה היימן, הפרשה הוכיחה שהמדינה הרפובליקנית מסוגלת בסופו של דבר להגן על אזרחיה היהודים, ושמחנה רחב של צרפתים לא־יהודים מוכן להיאבק למען צדק ליהודי. דרייפוס עצמו ראה בפרשה בעיה משפטית ולאומית ולא בעיה יהודית, ואת אמונו בצרפת לא איבד מעולם. מצד שני, הפרשה חשפה שגם במולדת האמנציפציה, מאה שנה לאחר המהפכה, אפשר להפוך את היהודי הצרפתי המשולב ביותר ל"זר" בתוך ימים; שהאנטישמיות מסוגלת לגייס מאות אלפים לרחובות; ושרוב יהודי צרפת, כפי שהראה מייקל מרוס בספרו "הפוליטיקה של ההתבוללות", בחרו בתגובה של שתיקה ואיפוק, מחשש שכל פעולה יהודית קולקטיבית תאשר את האשמת "הסינדיקט".</w:t>
      </w:r>
      <w:r>
        <w:rPr>
          <w:rStyle w:val="FootnoteReference"/>
        </w:rPr>
        <w:footnoteReference w:id="30"/>
      </w:r>
      <w:r>
        <w:rPr>
          <w:rFonts w:ascii="David" w:cs="David" w:eastAsia="David" w:hAnsi="David"/>
          <w:sz w:val="24"/>
          <w:szCs w:val="24"/>
          <w:rtl/>
        </w:rPr>
        <w:t xml:space="preserve"> מרוס ראה בהתנהגות זו כישלון של אסטרטגיית ההתבוללות; היימן, מנגד, הציעה קריאה סלחנית יותר, שלפיה האיפוק היה בחירה רציונלית של קהילה שביטחונה נשען על הרפובליקה, ואשר הניצחון הסופי של הרפובליקה הצדיק אותה בדיעבד.</w:t>
      </w:r>
    </w:p>
    <w:p>
      <w:pPr>
        <w:bidi/>
        <w:spacing w:after="120" w:line="360" w:lineRule="auto"/>
        <w:jc w:val="both"/>
      </w:pPr>
      <w:r>
        <w:rPr>
          <w:rFonts w:ascii="David" w:cs="David" w:eastAsia="David" w:hAnsi="David"/>
          <w:sz w:val="24"/>
          <w:szCs w:val="24"/>
          <w:rtl/>
        </w:rPr>
        <w:t xml:space="preserve">ראוי לשאול אם ניתן ליישם על המקרה הצרפתי את מושג "הקוד התרבותי" שטבעה וולקוב ביחס לגרמניה. התשובה, כך נראה, חיובית במידה רבה. מינואר 1898 ואילך הפכה העמדה כלפי דרייפוס לסימן היכר של השקפת עולם שלמה: מי שהאמין בחפותו היה בהכרח גם רפובליקני, חילוני, תומך בזכויות הפרט ובעליונות החוק על הצבא; מי שהאמין באשמתו היה לאומני, קתולי, שמרן ומעריץ של הצבא. עצם השאלה העובדתית – מי כתב את ה"בורדרו" – נעשתה משנית לעומת המשמעות הסמלית שנודעה לתשובה עליה, ולכן יכלו גם אנשים שהשתכנעו בחפותו של דרייפוס, כמוראס, לדרוש להשאיר את פסק הדין על כנו למען "כבוד הצבא". עם זאת, ההבדל מגרמניה ניכר: בצרפת עמד הקוד במרכז הפוליטיקה ולא בשוליה, והמחנה שדגל בו הובס בסופו של דבר. הבדל זה מסביר מדוע יכלה הפרשה לשמש בו־זמנית שתי מסקנות סותרות – את מסקנתם של רוב יהודי צרפת, שהרפובליקה ניצחה, ואת מסקנתם של הציונים, שהאנטישמיות חדרה עד לב־ליבה של ארץ האמנציפציה.</w:t>
      </w:r>
      <w:r>
        <w:rPr>
          <w:rStyle w:val="FootnoteReference"/>
        </w:rPr>
        <w:footnoteReference w:id="31"/>
      </w:r>
    </w:p>
    <w:p>
      <w:pPr>
        <w:bidi/>
        <w:spacing w:after="120" w:line="360" w:lineRule="auto"/>
        <w:jc w:val="both"/>
      </w:pPr>
      <w:r>
        <w:rPr>
          <w:rFonts w:ascii="David" w:cs="David" w:eastAsia="David" w:hAnsi="David"/>
          <w:sz w:val="24"/>
          <w:szCs w:val="24"/>
          <w:rtl/>
        </w:rPr>
        <w:t xml:space="preserve">הפרשה כמבחן לאמנציפציה היא הנקודה שבה נפגשים המקרה הצרפתי והתגובה הציונית. אם רוב יהודי צרפת הסיקו מן הפרשה שיש לדבוק ברפובליקה ולסמוך עליה, הרי שמיעוט – ובראשו ברנאר לאזאר, שממאבקו למען דרייפוס הגיע אל הלאומיות היהודית והצטרף לזמן־מה לתנועה הציונית של הרצל – הסיק ממנה את המסקנה ההפוכה: שהאמנציפציה היא הבטחה שאין המדינה מסוגלת לקיים, ושהיהודים זקוקים לפתרון משלהם. באיזו מידה הסיק הרצל את המסקנה הזאת מן הפרשה עצמה, ובאיזו מידה הביא אותה עמו לפריז ממקום אחר – זו השאלה שתעמוד במרכז הפרקים הבאים. אך תחילה יש לעמוד על תפקידו של האיש שהפך את "המקרה" ל"פרשה".</w:t>
      </w:r>
    </w:p>
    <w:p>
      <w:pPr>
        <w:pStyle w:val="Heading1"/>
        <w:bidi/>
        <w:spacing w:after="160" w:before="360" w:line="360"/>
        <w:jc w:val="right"/>
      </w:pPr>
      <w:r>
        <w:rPr>
          <w:rFonts w:ascii="David" w:cs="David" w:eastAsia="David" w:hAnsi="David"/>
          <w:b/>
          <w:bCs/>
          <w:sz w:val="32"/>
          <w:szCs w:val="32"/>
          <w:rtl/>
        </w:rPr>
        <w:t xml:space="preserve">פרק ג: אמיל זולא ו"אני מאשים" – הפיכת המשפט למאבק ציבורי</w:t>
      </w:r>
    </w:p>
    <w:p>
      <w:pPr>
        <w:pStyle w:val="Heading2"/>
        <w:bidi/>
        <w:spacing w:after="160" w:before="240" w:line="360"/>
        <w:jc w:val="right"/>
      </w:pPr>
      <w:r>
        <w:rPr>
          <w:rFonts w:ascii="David" w:cs="David" w:eastAsia="David" w:hAnsi="David"/>
          <w:b/>
          <w:bCs/>
          <w:sz w:val="28"/>
          <w:szCs w:val="28"/>
          <w:rtl/>
        </w:rPr>
        <w:t xml:space="preserve">1. זולא לפני הפרשה: "למען היהודים"</w:t>
      </w:r>
    </w:p>
    <w:p>
      <w:pPr>
        <w:bidi/>
        <w:spacing w:after="120" w:line="360" w:lineRule="auto"/>
        <w:jc w:val="both"/>
      </w:pPr>
      <w:r>
        <w:rPr>
          <w:rFonts w:ascii="David" w:cs="David" w:eastAsia="David" w:hAnsi="David"/>
          <w:sz w:val="24"/>
          <w:szCs w:val="24"/>
          <w:rtl/>
        </w:rPr>
        <w:t xml:space="preserve">אמיל זולא (1840–1902) היה בשנות התשעים של המאה התשע עשרה הסופר המפורסם ביותר בצרפת, אבי הזרם הנטורליסטי ומחבר סדרת הרומנים "רוגון־מאקאר". מעורבותו בפרשה לא הייתה מקרית. כבר במאי 1896, שנה וחצי לפני "אני מאשים" ומבלי שידע דבר על חפותו של דרייפוס, פרסם זולא ב"פיגארו" מאמר בשם "למען היהודים", שבו תקף את גל האנטישמיות של דרימון וחבריו כ"חזרה לימי הביניים" וכבגידה במורשת המהפכה, וקרא לצרפתים לזכור שהיהודים הם בני אדם וצרפתים כמותם. המאמר, שעורר תגובות זועמות בעיתונות האנטישמית, מלמד שזולא ראה באנטישמיות סכנה לרפובליקה ולתרבות עוד לפני שנחשף לעובדות המשפט, וכי מניעיו במאבק לא נבעו מאהדה מיוחדת ליהודים – כתביו הקודמים כללו לא מעט דימויים סטריאוטיפיים של בנקאים יהודים – אלא מתפישתו את האמת והצדק כערכים אוניברסליים.</w:t>
      </w:r>
      <w:r>
        <w:rPr>
          <w:rStyle w:val="FootnoteReference"/>
        </w:rPr>
        <w:footnoteReference w:id="32"/>
      </w:r>
    </w:p>
    <w:p>
      <w:pPr>
        <w:bidi/>
        <w:spacing w:after="120" w:line="360" w:lineRule="auto"/>
        <w:jc w:val="both"/>
      </w:pPr>
      <w:r>
        <w:rPr>
          <w:rFonts w:ascii="David" w:cs="David" w:eastAsia="David" w:hAnsi="David"/>
          <w:sz w:val="24"/>
          <w:szCs w:val="24"/>
          <w:rtl/>
        </w:rPr>
        <w:t xml:space="preserve">בסתיו 1897, כשהתפרסמו גילוייהם של פיקאר ושרר־קסטנר, שוכנע זולא בחפותו של דרייפוס ופרסם סדרת מאמרים ב"פיגארו", שבהם קרא לאמת "לצאת לדרך" ותקף את "הסינדיקט" הדמיוני של האנטישמים. הלחץ על העיתון גרם להפסקת המאמרים, וזולא פנה לפרסום חוברות עצמאיות. זיכויו של אסטרהזי ב-11 בינואר 1898 שכנע אותו שאין עוד טעם בטיעונים מדודים, וכי רק מעשה פרובוקטיבי, שיאלץ את השלטונות להעמידו לדין ובכך ייפתח משפט פומבי, יוכל לפרוץ את חומת השתיקה.</w:t>
      </w:r>
    </w:p>
    <w:p>
      <w:pPr>
        <w:pStyle w:val="Heading2"/>
        <w:bidi/>
        <w:spacing w:after="160" w:before="240" w:line="360"/>
        <w:jc w:val="right"/>
      </w:pPr>
      <w:r>
        <w:rPr>
          <w:rFonts w:ascii="David" w:cs="David" w:eastAsia="David" w:hAnsi="David"/>
          <w:b/>
          <w:bCs/>
          <w:sz w:val="28"/>
          <w:szCs w:val="28"/>
          <w:rtl/>
        </w:rPr>
        <w:t xml:space="preserve">2. "אני מאשים": המכתב ומשפטו של זולא</w:t>
      </w:r>
    </w:p>
    <w:p>
      <w:pPr>
        <w:bidi/>
        <w:spacing w:after="120" w:line="360" w:lineRule="auto"/>
        <w:jc w:val="both"/>
      </w:pPr>
      <w:r>
        <w:rPr>
          <w:rFonts w:ascii="David" w:cs="David" w:eastAsia="David" w:hAnsi="David"/>
          <w:sz w:val="24"/>
          <w:szCs w:val="24"/>
          <w:rtl/>
        </w:rPr>
        <w:t xml:space="preserve">ב-13 בינואר 1898 פרסם היומון "לורור" ("השחר"), בעריכתו של ז'ורז' קלמנסו, על פני כל עמודו הראשון את מכתבו הפתוח של זולא לנשיא הרפובליקה פליקס פור, תחת הכותרת שהציע קלמנסו: "אני מאשים...!". שלוש מאות אלף עותקים נמכרו בו ביום. המכתב סקר את השתלשלות הפרשה מנקודת מבטם של הדרייפוסארים, והסתיים בסדרה של פסקאות הפותחות במילים "אני מאשים": את המייג'ור די פאטי דה קלאם כ"פועל השטני של הטעות המשפטית"; את הגנרל מרסייה בשותפות "מתוך חולשת שכל"; את הגנרל בייו בהסתרת ראיות לחפותו של דרייפוס; את הגנרלים בואדפר וגונס; את שלושת מומחי כתב היד; את משרד המלחמה על מסע התעמולה בעיתונות; ואת שני בתי הדין הצבאיים – הראשון בהרשעה על יסוד מסמך סודי בלתי חוקי, והשני בזיכוי מכוון של אשם. זולא סיים בהצהרה שהוא יודע כי הוא חושף את עצמו לתביעה על פי חוק העיתונות, וכי הוא עושה זאת בכוונה תחילה: "שיעזו נא להעמידני לדין, ושתתנהל החקירה לאור היום! אני מחכה".</w:t>
      </w:r>
      <w:r>
        <w:rPr>
          <w:rStyle w:val="FootnoteReference"/>
        </w:rPr>
        <w:footnoteReference w:id="33"/>
      </w:r>
    </w:p>
    <w:p>
      <w:pPr>
        <w:bidi/>
        <w:spacing w:after="120" w:line="360" w:lineRule="auto"/>
        <w:jc w:val="both"/>
      </w:pPr>
      <w:r>
        <w:rPr>
          <w:rFonts w:ascii="David" w:cs="David" w:eastAsia="David" w:hAnsi="David"/>
          <w:sz w:val="24"/>
          <w:szCs w:val="24"/>
          <w:rtl/>
        </w:rPr>
        <w:t xml:space="preserve">הטקסט של זולא ראוי לתשומת לב לא רק בשל תוכנו אלא בשל מבנהו הרטורי. זולא בנה את המכתב כמעין כתב אישום משפטי, שבו הוא, הסופר, מחליף את התובע שסירב לפעול; הוא הפך את המדינה לנאשמת ואת עצמו לנציגה של האמת. הוא הציג את דרייפוס לא כיהודי כי אם כ"אזרח" שזכויותיו נרמסו, ואת האנטישמיות – "האנטישמיות המתועבת, שממנה תמות החירות הגדולה של זכויות האדם, אם לא תירפא ממנה" – כמחלה של צרפת ולא כבעיה של היהודים. במובן זה ייצג המכתב את הגישה הרפובליקנית האוניברסליסטית, שבה גם רוב יהודי צרפת תלו את תקוותם: הפתרון לבעיית היהודים אינו יהודי אלא צרפתי, והוא טמון בהשלמת המהפכה.</w:t>
      </w:r>
      <w:r>
        <w:rPr>
          <w:rStyle w:val="FootnoteReference"/>
        </w:rPr>
        <w:footnoteReference w:id="34"/>
      </w:r>
    </w:p>
    <w:p>
      <w:pPr>
        <w:bidi/>
        <w:spacing w:after="120" w:line="360" w:lineRule="auto"/>
        <w:jc w:val="both"/>
      </w:pPr>
      <w:r>
        <w:rPr>
          <w:rFonts w:ascii="David" w:cs="David" w:eastAsia="David" w:hAnsi="David"/>
          <w:sz w:val="24"/>
          <w:szCs w:val="24"/>
          <w:rtl/>
        </w:rPr>
        <w:t xml:space="preserve">הממשלה נפלה במלכודת שטמן לה זולא, אך באופן חלקי בלבד: היא תבעה אותו על דיבה, אך רק על שלוש שורות במכתבו – הטענה שבית הדין הצבאי זיכה את אסטרהזי "לפי פקודה" – ובכך ניסתה למנוע דיון בפרשת דרייפוס עצמה. המשפט, שהתנהל בפריז בין 7 ל-23 בפברואר 1898 בבית המשפט לפלילים, היה אירוע ציבורי דרמטי: המונים אנטישמיים צרו על בניין בית המשפט וקראו "מוות לזולא! מוות ליהודים!", וגנרלים הופיעו על דוכן העדים ואיימו בהתפטרות אם יורשע הצבא. זולא הורשע ונידון לשנת מאסר ולקנס של שלושת אלפים פרנק – העונש המרבי. פסק הדין בוטל בערעור מטעמים טכניים, אך במשפט חוזר ביולי 1898 הורשע שנית, ובעצת פרקליטיו נמלט לאנגליה, שם שהה כאחד עשר חודשים עד שההודאה של אנרי וביטול פסק הדין של 1894 אפשרו את שובו ביוני 1899.</w:t>
      </w:r>
      <w:r>
        <w:rPr>
          <w:rStyle w:val="FootnoteReference"/>
        </w:rPr>
        <w:footnoteReference w:id="35"/>
      </w:r>
    </w:p>
    <w:p>
      <w:pPr>
        <w:pStyle w:val="Heading2"/>
        <w:bidi/>
        <w:spacing w:after="160" w:before="240" w:line="360"/>
        <w:jc w:val="right"/>
      </w:pPr>
      <w:r>
        <w:rPr>
          <w:rFonts w:ascii="David" w:cs="David" w:eastAsia="David" w:hAnsi="David"/>
          <w:b/>
          <w:bCs/>
          <w:sz w:val="28"/>
          <w:szCs w:val="28"/>
          <w:rtl/>
        </w:rPr>
        <w:t xml:space="preserve">3. השלכות "אני מאשים": גל האלימות של 1898</w:t>
      </w:r>
    </w:p>
    <w:p>
      <w:pPr>
        <w:bidi/>
        <w:spacing w:after="120" w:line="360" w:lineRule="auto"/>
        <w:jc w:val="both"/>
      </w:pPr>
      <w:r>
        <w:rPr>
          <w:rFonts w:ascii="David" w:cs="David" w:eastAsia="David" w:hAnsi="David"/>
          <w:sz w:val="24"/>
          <w:szCs w:val="24"/>
          <w:rtl/>
        </w:rPr>
        <w:t xml:space="preserve">ההשלכה המיידית של המכתב ושל המשפט הייתה גל של אלימות אנטי־יהודית, שלא היה כמותו בצרפת מאז ימי המהפכה. בין ינואר לפברואר 1898 התרחשו הפגנות ומהומות אנטישמיות בכחמישים וחמש ערים ברחבי צרפת: חנויות יהודיות נבזזו, בתי כנסת הותקפו, יהודים הוכו ברחובות, ובאלג'יר הצרפתית נרצחו כמה יהודים במהומות שנמשכו ימים. סטיבן וילסון, שניתח את המהומות בפירוט, הראה שהן לא היו ספונטניות אלא אורגנו על ידי הליגות הלאומניות והסטודנטים האנטישמים, וכי הן שיקפו את הפיכת האנטישמיות מרטוריקה של עיתונאים לתנועת רחוב.</w:t>
      </w:r>
      <w:r>
        <w:rPr>
          <w:rStyle w:val="FootnoteReference"/>
        </w:rPr>
        <w:footnoteReference w:id="36"/>
      </w:r>
      <w:r>
        <w:rPr>
          <w:rFonts w:ascii="David" w:cs="David" w:eastAsia="David" w:hAnsi="David"/>
          <w:sz w:val="24"/>
          <w:szCs w:val="24"/>
          <w:rtl/>
        </w:rPr>
        <w:t xml:space="preserve"> בבחירות לבית הנבחרים במאי 1898 נבחרו כעשרים ושניים צירים על מצע אנטישמי מפורש, ובהם דרימון עצמו, שנבחר באלג'יר.</w:t>
      </w:r>
    </w:p>
    <w:p>
      <w:pPr>
        <w:bidi/>
        <w:spacing w:after="120" w:line="360" w:lineRule="auto"/>
        <w:jc w:val="both"/>
      </w:pPr>
      <w:r>
        <w:rPr>
          <w:rFonts w:ascii="David" w:cs="David" w:eastAsia="David" w:hAnsi="David"/>
          <w:sz w:val="24"/>
          <w:szCs w:val="24"/>
          <w:rtl/>
        </w:rPr>
        <w:t xml:space="preserve">ואולם בטווח הארוך השיג "אני מאשים" את מטרתו. המכתב הוציא את הפרשה מן הזירה הצבאית־משפטית הסגורה אל הזירה הציבורית; הוא אילץ את האינטלקטואלים – מונח שנטבע בדיוק בימים אלה, בלעג, על ידי מוראס ובארס – לנקוט עמדה, והביא לחתימתם של אלפי סופרים, מדענים ואמנים על "עצומת האינטלקטואלים" למען ביטול פסק הדין. הוא הפך את המאבק לצדק לדרייפוס למאבק על דמותה של הרפובליקה, ובכך הכריח את המערכת הפוליטית להכריע. רות האריס הדגישה שהמכתב יצר גם דפוס חדש של מעורבות פוליטית של אנשי רוח, שיאפיין את המאה העשרים כולה.</w:t>
      </w:r>
      <w:r>
        <w:rPr>
          <w:rStyle w:val="FootnoteReference"/>
        </w:rPr>
        <w:footnoteReference w:id="37"/>
      </w:r>
    </w:p>
    <w:p>
      <w:pPr>
        <w:bidi/>
        <w:spacing w:after="120" w:line="360" w:lineRule="auto"/>
        <w:jc w:val="both"/>
      </w:pPr>
      <w:r>
        <w:rPr>
          <w:rFonts w:ascii="David" w:cs="David" w:eastAsia="David" w:hAnsi="David"/>
          <w:sz w:val="24"/>
          <w:szCs w:val="24"/>
          <w:rtl/>
        </w:rPr>
        <w:t xml:space="preserve">זולא עצמו שילם על מעורבותו מחיר כבד: הוא איבד את מעמדו באקדמיה הצרפתית, שאליה לא נבחר מעולם, סבל ממסע השמצות אנטישמי – אף שלא היה יהודי – ומת בשנת 1902 מהרעלת פחמן חד־חמצני בנסיבות שלא הובררו עד היום. בשנת 1908 הועברו עצמותיו לפנתיאון, בטקס שבו ניסה עיתונאי לאומני לרצוח את דרייפוס, שנכח בו. גורלו של זולא מלמד שהפרשה לא הייתה רק מאבק על יהודי אחד, אלא מאבק על מקומו של האינטלקטואל ועל זכותו לערער על סמכות המדינה – ומבחינה זו ראו בו הדרייפוסארים, ולא רק היהודים, את גיבור הפרשה.</w:t>
      </w:r>
      <w:r>
        <w:rPr>
          <w:rStyle w:val="FootnoteReference"/>
        </w:rPr>
        <w:footnoteReference w:id="38"/>
      </w:r>
    </w:p>
    <w:p>
      <w:pPr>
        <w:bidi/>
        <w:spacing w:after="120" w:line="360" w:lineRule="auto"/>
        <w:jc w:val="both"/>
      </w:pPr>
      <w:r>
        <w:rPr>
          <w:rFonts w:ascii="David" w:cs="David" w:eastAsia="David" w:hAnsi="David"/>
          <w:sz w:val="24"/>
          <w:szCs w:val="24"/>
          <w:rtl/>
        </w:rPr>
        <w:t xml:space="preserve">מנקודת מבטה של עבודה זו חשובה נקודה אחת: "אני מאשים" הוא שהפך את הפרשה לאירוע פאן־אירופי. עד ינואר 1898 היה "מקרה דרייפוס" עניין צרפתי בעיקרו, שגם העיתונות היהודית באירופה הקדישה לו תשומת לב מוגבלת ומהוססת – כפי שהראה גדעון קוץ במחקרו על ראשית הפרשה בעיתונות העברית והיהודית.</w:t>
      </w:r>
      <w:r>
        <w:rPr>
          <w:rStyle w:val="FootnoteReference"/>
        </w:rPr>
        <w:footnoteReference w:id="39"/>
      </w:r>
      <w:r>
        <w:rPr>
          <w:rFonts w:ascii="David" w:cs="David" w:eastAsia="David" w:hAnsi="David"/>
          <w:sz w:val="24"/>
          <w:szCs w:val="24"/>
          <w:rtl/>
        </w:rPr>
        <w:t xml:space="preserve"> רק מינואר 1898, עם משפט זולא והמהומות, נעשתה הפרשה לנושא הראשון במעלה בעיתונות האירופית והאמריקנית כולה, והתמונה של "צרפת האנטישמית" – ולא רק של "משפט צבאי מפוקפק" – התקבעה בתודעה. עובדה כרונולוגית זו חיונית להבנת יחסו של הרצל לפרשה: כשכתב את "מדינת היהודים" בשנת 1895 וכשכינס את הקונגרס הציוני הראשון באוגוסט 1897, טרם הפכה הפרשה למה שאנו מכירים היום; היא הפכה לכזו רק כשהוא כבר עמד בראש תנועה שחיפשה הוכחות לצדקת דרכה.</w:t>
      </w:r>
    </w:p>
    <w:p>
      <w:pPr>
        <w:pStyle w:val="Heading1"/>
        <w:bidi/>
        <w:spacing w:after="160" w:before="360" w:line="360"/>
        <w:jc w:val="right"/>
      </w:pPr>
      <w:r>
        <w:rPr>
          <w:rFonts w:ascii="David" w:cs="David" w:eastAsia="David" w:hAnsi="David"/>
          <w:b/>
          <w:bCs/>
          <w:sz w:val="32"/>
          <w:szCs w:val="32"/>
          <w:rtl/>
        </w:rPr>
        <w:t xml:space="preserve">פרק ד: הרקע הביוגרפי של הרצל – חינוכו, הזדהותו עם התרבות האירופית ועמדותיו המוקדמות</w:t>
      </w:r>
    </w:p>
    <w:p>
      <w:pPr>
        <w:pStyle w:val="Heading2"/>
        <w:bidi/>
        <w:spacing w:after="160" w:before="240" w:line="360"/>
        <w:jc w:val="right"/>
      </w:pPr>
      <w:r>
        <w:rPr>
          <w:rFonts w:ascii="David" w:cs="David" w:eastAsia="David" w:hAnsi="David"/>
          <w:b/>
          <w:bCs/>
          <w:sz w:val="28"/>
          <w:szCs w:val="28"/>
          <w:rtl/>
        </w:rPr>
        <w:t xml:space="preserve">1. בודפשט ווינה: חינוכו של יהודי מתבולל</w:t>
      </w:r>
    </w:p>
    <w:p>
      <w:pPr>
        <w:bidi/>
        <w:spacing w:after="120" w:line="360" w:lineRule="auto"/>
        <w:jc w:val="both"/>
      </w:pPr>
      <w:r>
        <w:rPr>
          <w:rFonts w:ascii="David" w:cs="David" w:eastAsia="David" w:hAnsi="David"/>
          <w:sz w:val="24"/>
          <w:szCs w:val="24"/>
          <w:rtl/>
        </w:rPr>
        <w:t xml:space="preserve">תיאודור הרצל נולד בבודפשט ב-2 במאי 1860, למשפחה יהודית אמידה ומתבוללת. אביו, יעקב הרצל, היה סוחר ובנקאי מצליח; אמו, ז'נט, הייתה בת למשפחה מתורבתת שהעריצה את הספרות הגרמנית הקלאסית. הרצל גדל בבית דובר גרמנית, שהיהדות בו הייתה עניין של מסורת משפחתית רופפת ולא של אמונה: הוא למד זמן קצר בבית ספר יהודי, חגג בר־מצווה, אך חינוכו התרבותי היה גרמני לחלוטין – שילר, גתה, היינה. בשנת 1878, לאחר מות אחותו פאולינה, עברה המשפחה לווינה, והרצל נרשם ללימודי משפטים באוניברסיטה. את הדוקטורט קיבל בשנת 1884, ולאחר שנת התמחות קצרה זנח את המשפטים לטובת הספרות והעיתונות.</w:t>
      </w:r>
      <w:r>
        <w:rPr>
          <w:rStyle w:val="FootnoteReference"/>
        </w:rPr>
        <w:footnoteReference w:id="40"/>
      </w:r>
    </w:p>
    <w:p>
      <w:pPr>
        <w:bidi/>
        <w:spacing w:after="120" w:line="360" w:lineRule="auto"/>
        <w:jc w:val="both"/>
      </w:pPr>
      <w:r>
        <w:rPr>
          <w:rFonts w:ascii="David" w:cs="David" w:eastAsia="David" w:hAnsi="David"/>
          <w:sz w:val="24"/>
          <w:szCs w:val="24"/>
          <w:rtl/>
        </w:rPr>
        <w:t xml:space="preserve">ההיסטוריונים מסכימים שהרצל הצעיר היה יהודי מתבולל במלוא מובן המילה: הוא ראה את עצמו כגרמני בן דת משה, ואף פחות מכך – כאיש תרבות אירופי שדתו היא עניין של מוצא בלבד. שאיפתו הגדולה הייתה להיות מחזאי גרמני מצליח, וסגנון חייו – הופעתו החיצונית המוקפדת, הדנדיזם, האהדה לאצולה – שיקף את רצונו להיטמע בחברה הגבוהה הווינאית. ז'ק קורנברג, בביוגרפיה האינטלקטואלית שהקדיש להרצל, הראה שהתבוללות זו לא הייתה נטולת מתחים: הרצל הפנים במידה רבה את הדימויים השליליים של היהודים שרווחו בסביבתו – היהודי כ"מאושל", כמתחנף, כחסר כבוד – וביקש להתרחק מהם. קורנברג כינה זאת "שנאה עצמית יהודית", ואף שהמונח שנוי במחלוקת, אין ספק שהמתח בין הרצון להיות "כמו כולם" לבין ההכרה שהסביבה אינה מאפשרת זאת עמד ביסוד התפתחותו.</w:t>
      </w:r>
      <w:r>
        <w:rPr>
          <w:rStyle w:val="FootnoteReference"/>
        </w:rPr>
        <w:footnoteReference w:id="41"/>
      </w:r>
    </w:p>
    <w:p>
      <w:pPr>
        <w:pStyle w:val="Heading2"/>
        <w:bidi/>
        <w:spacing w:after="160" w:before="240" w:line="360"/>
        <w:jc w:val="right"/>
      </w:pPr>
      <w:r>
        <w:rPr>
          <w:rFonts w:ascii="David" w:cs="David" w:eastAsia="David" w:hAnsi="David"/>
          <w:b/>
          <w:bCs/>
          <w:sz w:val="28"/>
          <w:szCs w:val="28"/>
          <w:rtl/>
        </w:rPr>
        <w:t xml:space="preserve">2. המפגש הראשון עם האנטישמיות: דירינג ואגודת "אלביה"</w:t>
      </w:r>
    </w:p>
    <w:p>
      <w:pPr>
        <w:bidi/>
        <w:spacing w:after="120" w:line="360" w:lineRule="auto"/>
        <w:jc w:val="both"/>
      </w:pPr>
      <w:r>
        <w:rPr>
          <w:rFonts w:ascii="David" w:cs="David" w:eastAsia="David" w:hAnsi="David"/>
          <w:sz w:val="24"/>
          <w:szCs w:val="24"/>
          <w:rtl/>
        </w:rPr>
        <w:t xml:space="preserve">בניגוד למיתוס שלפיו "גילה" הרצל את האנטישמיות בפריז, נחשף הרצל לאנטישמיות המודרנית כבר בשנות לימודיו בווינה, ובעוצמה רבה. בפברואר 1882 קרא את ספרו של אויגן דירינג "השאלה היהודית כשאלה של גזע, מוסר ותרבות", ורשם ביומן הנעורים שלו הערות ארוכות. הוא הכיר בכישרונו של דירינג, אך הזדעזע מן העובדה שאדם משכיל ומלומד מסוגל להטיף לשנאה גזעית כזאת: "אם דירינג, שהוא כה משכיל, כותב כך – מה יכתבו ההמונים הבורים?" הוא דחה את פתרונו של דירינג, אך קיבל חלק מביקורתו על "פגמי" היהודים, וטען שהאמנציפציה תרפא אותם בתוך דורות אחדים. תגובה זו מלמדת על העמדה שתאפיין את הרצל במשך יותר מעשור: הכרה בקיומה של האנטישמיות, יחד עם אמונה שההתבוללות – ולא היציאה מאירופה – היא התשובה לה.</w:t>
      </w:r>
      <w:r>
        <w:rPr>
          <w:rStyle w:val="FootnoteReference"/>
        </w:rPr>
        <w:footnoteReference w:id="42"/>
      </w:r>
    </w:p>
    <w:p>
      <w:pPr>
        <w:bidi/>
        <w:spacing w:after="120" w:line="360" w:lineRule="auto"/>
        <w:jc w:val="both"/>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סוער, ואגודת "אלביה" התייצבה מאחוריו. הרצל שלח לאגודה מכתב שבו הודיע שהוא פורש ממנה מאחר ש"כאיש אוהב חופש" אינו יכול להישאר באגודה שהתקבלה בה עמדה כזאת; האגודה השיבה שהוא מסולק ממנה בין כה וכה. כעבור שנתיים החליטו האגודות הלאומיות בווינה שלא לקבל יהודים כלל, ובשנת 1896 קבעה ועידת האגודות ב"ואידהופן" שאין יהודי ראוי לסיפוק בדו־קרב, שכן "היהודי חסר כבוד". הרצל, אם כן, למד על בשרו כבר בשנות העשרים לחייו שהאמנציפציה בווינה נעצרת בשערי החברה הגרמנית־לאומית.</w:t>
      </w:r>
      <w:r>
        <w:rPr>
          <w:rStyle w:val="FootnoteReference"/>
        </w:rPr>
        <w:footnoteReference w:id="43"/>
      </w:r>
    </w:p>
    <w:p>
      <w:pPr>
        <w:bidi/>
        <w:spacing w:after="120" w:line="360" w:lineRule="auto"/>
        <w:jc w:val="both"/>
      </w:pPr>
      <w:r>
        <w:rPr>
          <w:rFonts w:ascii="David" w:cs="David" w:eastAsia="David" w:hAnsi="David"/>
          <w:sz w:val="24"/>
          <w:szCs w:val="24"/>
          <w:rtl/>
        </w:rPr>
        <w:t xml:space="preserve">עם זאת, מסקנתו של הרצל מהתנסויות אלה לא הייתה לאומית. במשך שנות השמונים המשיך בדרכו כמחזאי ופיליטוניסט, ומחזותיו הקלילים הוצגו בבורגתיאטר בווינה ובבמות גרמניות. השאלה היהודית הופיעה בכתביו רק בשוליים ובאופן אירוני. עמדתו בשנים אלה סוכמה היטב על ידי שלמה אבינרי: הרצל האמין שהאנטישמיות היא שריד של ימי הביניים שייעלם עם התקדמות הנאורות, ושהיהודים עצמם צריכים לתרום להיעלמותה על ידי הסרת "סימני הגטו" מהם – בחינוך, בנימוסים, בעיסוקים.</w:t>
      </w:r>
      <w:r>
        <w:rPr>
          <w:rStyle w:val="FootnoteReference"/>
        </w:rPr>
        <w:footnoteReference w:id="44"/>
      </w:r>
    </w:p>
    <w:p>
      <w:pPr>
        <w:pStyle w:val="Heading2"/>
        <w:bidi/>
        <w:spacing w:after="160" w:before="240" w:line="360"/>
        <w:jc w:val="right"/>
      </w:pPr>
      <w:r>
        <w:rPr>
          <w:rFonts w:ascii="David" w:cs="David" w:eastAsia="David" w:hAnsi="David"/>
          <w:b/>
          <w:bCs/>
          <w:sz w:val="28"/>
          <w:szCs w:val="28"/>
          <w:rtl/>
        </w:rPr>
        <w:t xml:space="preserve">3. פריז 1891–1894: העיתונאי כמשקיף על הפוליטיקה ההמונית</w:t>
      </w:r>
    </w:p>
    <w:p>
      <w:pPr>
        <w:bidi/>
        <w:spacing w:after="120" w:line="360" w:lineRule="auto"/>
        <w:jc w:val="both"/>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(1892–1893), את גל הטרור האנרכיסטי ואת משפטי האנרכיסטים, את הבחירות ואת נפילת הממשלות. השנים בפריז היו בית ספר פוליטי ראשון במעלה, ומאמריו מתקופה זו – שכונסו בספרו "ארמון בורבון" (1895) – מלמדים על משקיף חד, סקפטי ומפוכח, שלמד להכיר את מנגנוני הפוליטיקה הפרלמנטרית ואת מגבלותיה, את כוחם של ההמונים ואת כוחה של העיתונות.</w:t>
      </w:r>
      <w:r>
        <w:rPr>
          <w:rStyle w:val="FootnoteReference"/>
        </w:rPr>
        <w:footnoteReference w:id="45"/>
      </w:r>
    </w:p>
    <w:p>
      <w:pPr>
        <w:bidi/>
        <w:spacing w:after="120" w:line="360" w:lineRule="auto"/>
        <w:jc w:val="both"/>
      </w:pPr>
      <w:r>
        <w:rPr>
          <w:rFonts w:ascii="David" w:cs="David" w:eastAsia="David" w:hAnsi="David"/>
          <w:sz w:val="24"/>
          <w:szCs w:val="24"/>
          <w:rtl/>
        </w:rPr>
        <w:t xml:space="preserve">שני לקחים מן השנים הללו ראויים להדגשה, שכן הם יופיעו לימים ב"מדינת היהודים". הלקח הראשון נגע לפרלמנטריזם: הרצל, שהגיע לפריז כליברל שהאמין בפרלמנט כמוסד הרציונלי של המדינה המודרנית, ראה בבית הנבחרים הצרפתי מוסד של דמגוגיה, שחיתות ואינטריגות, וסיקר את שערוריית פנמה – שבה התגלה כי מאות צירים קיבלו שוחד מחברת תעלת פנמה – כמי שאיבד את אמונו בפוליטיקה הפרלמנטרית. הלקח השני נגע להמונים: משפטי האנרכיסטים, ההפגנות ותהלוכות ההמונים לימדו אותו שהפוליטיקה המודרנית מתנהלת ברחוב ובעיתון לא פחות מאשר בפרלמנט, ושמי שרוצה להניע בני אדם צריך לפנות אל דמיונם ואל רגשותיהם באמצעות סמלים, דגלים וטקסים. פנסלר הראה כיצד תובנות אלה, שאינן יהודיות במקורן, עיצבו את תפישת המנהיגות של הרצל ואת האופי ה"תיאטרלי" של הקונגרסים הציוניים.</w:t>
      </w:r>
      <w:r>
        <w:rPr>
          <w:rStyle w:val="FootnoteReference"/>
        </w:rPr>
        <w:footnoteReference w:id="46"/>
      </w:r>
    </w:p>
    <w:p>
      <w:pPr>
        <w:bidi/>
        <w:spacing w:after="120" w:line="360" w:lineRule="auto"/>
        <w:jc w:val="both"/>
      </w:pPr>
      <w:r>
        <w:rPr>
          <w:rFonts w:ascii="David" w:cs="David" w:eastAsia="David" w:hAnsi="David"/>
          <w:sz w:val="24"/>
          <w:szCs w:val="24"/>
          <w:rtl/>
        </w:rPr>
        <w:t xml:space="preserve">בפריז נחשף הרצל גם לאנטישמיות הצרפתית. הוא קרא את "צרפת המיוהדת" של דרימון, סיקר את הופעת "לה ליבר פארול" ואת שערוריית פנמה, שבה הפכה העיתונות האנטישמית את המתווכים היהודים לשעירים לעזאזל. תגובתו הראשונה הייתה, שוב, לא ציונית: בסתיו 1892 פרסם ב"נויה פרייה פרסה" מאמר בשם "האנטישמיות הצרפתית", שבו ניתח את התופעה בקור רוח ואף הביע הבנה מסוימת למניעיה הסוציאליים – השנאה ל"הון היהודי" כהסחה של מאבק המעמדות – וסיים באמונה שהאנטישמיות תיעלם עם התקדמות החברה. באותה שנה כתב מאמר על "פרשת האיטלקים" – רצח פועלים איטלקים בידי המון צרפתי – והשווה את שנאת הזרים לאנטישמיות. הפתרונות שהעלה בשנים 1892–1893 היו פתרונות של יהודי מתבולל בלב שלם: בסתיו 1893 הגה תוכנית פנטסטית שלפיה יוביל את יהודי אוסטריה בתהלוכה חגיגית לקתדרלת סטפן הקדוש בווינה, שם יטבלו לנצרות ביום ראשון בצהריים, לקול צלצול הפעמונים, בעוד הוא עצמו ובני דורו יישארו יהודים "כדור המעבר האחרון"; ובמכתב לברון פרידריך לייטנברגר, מייסד אגודה להגנה מפני האנטישמיות, הציע לקרוא לדו־קרב את מנהיגי האנטישמים באוסטריה – שנרר, לואגר או אלואיס ליכטנשטיין – ואם ייהרג, ישאיר מכתב שיזעזע את העולם; ואם יהרוג את יריבו, יישא בבית המשפט נאום שיביא לזיכויו ולזיכוי היהודים כולם.</w:t>
      </w:r>
      <w:r>
        <w:rPr>
          <w:rStyle w:val="FootnoteReference"/>
        </w:rPr>
        <w:footnoteReference w:id="47"/>
      </w:r>
      <w:r>
        <w:rPr>
          <w:rFonts w:ascii="David" w:cs="David" w:eastAsia="David" w:hAnsi="David"/>
          <w:sz w:val="24"/>
          <w:szCs w:val="24"/>
          <w:rtl/>
        </w:rPr>
        <w:t xml:space="preserve"> הפתרונות הללו, על כל הפנטזיה שבהם, מלמדים שהרצל תפש את השאלה היהודית כבעיה חברתית שפתרונה בתוך אירופה, וכבעיה של כבוד – כבודו האישי כאדם ה"מיוצג" בעיני הסביבה על ידי דימוי היהודי.</w:t>
      </w:r>
    </w:p>
    <w:p>
      <w:pPr>
        <w:pStyle w:val="Heading2"/>
        <w:bidi/>
        <w:spacing w:after="160" w:before="240" w:line="360"/>
        <w:jc w:val="right"/>
      </w:pPr>
      <w:r>
        <w:rPr>
          <w:rFonts w:ascii="David" w:cs="David" w:eastAsia="David" w:hAnsi="David"/>
          <w:b/>
          <w:bCs/>
          <w:sz w:val="28"/>
          <w:szCs w:val="28"/>
          <w:rtl/>
        </w:rPr>
        <w:t xml:space="preserve">4. "הגטו החדש": הרצל בערב פרשת דרייפוס</w:t>
      </w:r>
    </w:p>
    <w:p>
      <w:pPr>
        <w:bidi/>
        <w:spacing w:after="120" w:line="360" w:lineRule="auto"/>
        <w:jc w:val="both"/>
      </w:pPr>
      <w:r>
        <w:rPr>
          <w:rFonts w:ascii="David" w:cs="David" w:eastAsia="David" w:hAnsi="David"/>
          <w:sz w:val="24"/>
          <w:szCs w:val="24"/>
          <w:rtl/>
        </w:rPr>
        <w:t xml:space="preserve">עדות המפתח לעמדתו של הרצל ערב הפרשה היא המחזה "הגטו החדש", שכתב בפריז בסערת רוח בין 21 באוקטובר ל-8 בנובמבר 1894 – כלומר בשבועות שבהם נעצר דרייפוס (15 באוקטובר) ושבהם התפרסם דבר מעצרו (1 בנובמבר), אך לפני משפטו והרשעתו. המחזה, הראשון מיצירותיו שהוקדש לשאלה היהודית, מספר על עורך הדין היהודי יעקב שמואל, אדם ישר ואציל־רוח, שמנסה לחיות כאזרח שווה בחברה הווינאית, אך נדחה על ידי ידידו הנוצרי, נסחט על ידי גיסו הספסר ומוצא את מותו בדו־קרב עם קצין אנטישמי. במילותיו האחרונות קורא הגיבור: "יהודים, אחיי, לא יניחו לכם לחיות עד שתלמדו למות... אני רוצה החוצה! החוצה מן הגטו!". המסר של המחזה כפול: מצד אחד, האמנציפציה המשפטית לא ביטלה את "הגטו החדש" – החומות הבלתי נראות של הדעה הקדומה ושל התגובה היהודית עליה; מצד שני, המחזה אינו מציע כל פתרון לאומי, והגיבור אינו מבקש לצאת מאירופה אלא להיות מקובל בה. יש בו האשמה כלפי היהודים – על התעסקותם בכסף, על היעדר הכבוד – לא פחות מאשר כלפי הסביבה.</w:t>
      </w:r>
      <w:r>
        <w:rPr>
          <w:rStyle w:val="FootnoteReference"/>
        </w:rPr>
        <w:footnoteReference w:id="48"/>
      </w:r>
    </w:p>
    <w:p>
      <w:pPr>
        <w:bidi/>
        <w:spacing w:after="120" w:line="360" w:lineRule="auto"/>
        <w:jc w:val="both"/>
      </w:pPr>
      <w:r>
        <w:rPr>
          <w:rFonts w:ascii="David" w:cs="David" w:eastAsia="David" w:hAnsi="David"/>
          <w:sz w:val="24"/>
          <w:szCs w:val="24"/>
          <w:rtl/>
        </w:rPr>
        <w:t xml:space="preserve">חשיבותו של המחזה לענייננו היא כרונולוגית ותוכנית כאחת. מבחינה כרונולוגית, הוא מוכיח שהשאלה היהודית העסיקה את הרצל באינטנסיביות עוד לפני שהפך דרייפוס לעניין ציבורי, ושהמשבר האישי שהוביל אותו לציונות היה בעיצומו בסתיו 1894. מבחינה תוכנית, הוא מוכיח שגם בשלב זה, כשלושה חודשים לפני טקס הורדת הדרגות וכשמונה חודשים לפני היומן הציוני, טרם הגיע הרצל למסקנה הלאומית: "הגטו החדש" הוא מחזה על כישלון ההתבוללות, אך לא על הפתרון. הרצל שלח את המחזה לתיאטראות בווינה ובברלין בשם בדוי, ונדחה בכל מקום; הוא הוצג לראשונה רק בינואר 1898 בווינה, כשמחברו כבר היה מנהיג ציוני, ובאורח סמלי – באותם שבועות שבהם פרסם זולא את "אני מאשים". כך היה הרצל, בערב הפרשה, אדם שהאנטישמיות הפכה עבורו מבעיה חברתית מופשטת לפצע אישי, אך שטרם מצא לפצע זה תרופה. הפרק הבא יבחן כיצד מצא אותה, ואיזה מקום תפסה בכך פרשת דרייפוס.</w:t>
      </w:r>
    </w:p>
    <w:p>
      <w:pPr>
        <w:pStyle w:val="Heading1"/>
        <w:bidi/>
        <w:spacing w:after="160" w:before="360" w:line="360"/>
        <w:jc w:val="right"/>
      </w:pPr>
      <w:r>
        <w:rPr>
          <w:rFonts w:ascii="David" w:cs="David" w:eastAsia="David" w:hAnsi="David"/>
          <w:b/>
          <w:bCs/>
          <w:sz w:val="32"/>
          <w:szCs w:val="32"/>
          <w:rtl/>
        </w:rPr>
        <w:t xml:space="preserve">פרק ה: מהתבוללות ללאומיות – הרצל, פרשת דרייפוס ולידת "מדינת היהודים"</w:t>
      </w:r>
    </w:p>
    <w:p>
      <w:pPr>
        <w:pStyle w:val="Heading2"/>
        <w:bidi/>
        <w:spacing w:after="160" w:before="240" w:line="360"/>
        <w:jc w:val="right"/>
      </w:pPr>
      <w:r>
        <w:rPr>
          <w:rFonts w:ascii="David" w:cs="David" w:eastAsia="David" w:hAnsi="David"/>
          <w:b/>
          <w:bCs/>
          <w:sz w:val="28"/>
          <w:szCs w:val="28"/>
          <w:rtl/>
        </w:rPr>
        <w:t xml:space="preserve">1. הרצל כעד: דיווחיו על משפט דרייפוס וטקס הורדת הדרגות</w:t>
      </w:r>
    </w:p>
    <w:p>
      <w:pPr>
        <w:bidi/>
        <w:spacing w:after="120" w:line="360" w:lineRule="auto"/>
        <w:jc w:val="both"/>
      </w:pPr>
      <w:r>
        <w:rPr>
          <w:rFonts w:ascii="David" w:cs="David" w:eastAsia="David" w:hAnsi="David"/>
          <w:sz w:val="24"/>
          <w:szCs w:val="24"/>
          <w:rtl/>
        </w:rPr>
        <w:t xml:space="preserve">הרצל סיקר את משפט דרייפוס בדצמבר 1894 ואת טקס הורדת הדרגות ב-5 בינואר 1895 עבור "נויה פרייה פרסה". דיווחיו מן התקופה הם המקור החשוב ביותר לבחינת השאלה מה ראה הרצל בזמן אמת, בניגוד למה שסיפר בדיעבד, ואת הניתוח המדוקדק שלהם חבים אנו בעיקר לקורנברג ולאבינרי. שני ממצאים עולים מהם. ראשית, הרצל לא פקפק באשמתו של דרייפוס. כמו רוב הצרפתים, ובכללם רוב יהודי צרפת, קיבל את פסק דינו של בית הדין הצבאי, ובדיווחיו אף ניסה להסביר את הפסיכולוגיה של הבוגד; אפשרות חפותו החלה להעסיק אותו רק בשנים 1896–1897, כשנחשפו גילויי פיקאר ולאזאר. שנית, בדיווחו על טקס הורדת הדרגות תיאר הרצל את ההמון הצועק "מוות לבוגד!" ואת דרייפוס הזועק "אני חף מפשע!", אך לא הזכיר קריאות "מוות ליהודים". התיאור המפורסם של ההמון הפריזאי הצועק "מוות ליהודים" – הרגע שבו, לפי המיתוס, נולד הרצל הציוני – מופיע לראשונה רק במאמרו משנת 1899.</w:t>
      </w:r>
      <w:r>
        <w:rPr>
          <w:rStyle w:val="FootnoteReference"/>
        </w:rPr>
        <w:footnoteReference w:id="49"/>
      </w:r>
      <w:r>
        <w:rPr>
          <w:rFonts w:ascii="David" w:cs="David" w:eastAsia="David" w:hAnsi="David"/>
          <w:sz w:val="24"/>
          <w:szCs w:val="24"/>
          <w:rtl/>
        </w:rPr>
        <w:t xml:space="preserve"> 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ולא של יהודי המגלה שהאמנציפציה נכשלה.</w:t>
      </w:r>
    </w:p>
    <w:p>
      <w:pPr>
        <w:pStyle w:val="Heading2"/>
        <w:bidi/>
        <w:spacing w:after="160" w:before="240" w:line="360"/>
        <w:jc w:val="right"/>
      </w:pPr>
      <w:r>
        <w:rPr>
          <w:rFonts w:ascii="David" w:cs="David" w:eastAsia="David" w:hAnsi="David"/>
          <w:b/>
          <w:bCs/>
          <w:sz w:val="28"/>
          <w:szCs w:val="28"/>
          <w:rtl/>
        </w:rPr>
        <w:t xml:space="preserve">2. היומן הציוני: הגנסיס לפי הרצל עצמו (יוני 1895)</w:t>
      </w:r>
    </w:p>
    <w:p>
      <w:pPr>
        <w:bidi/>
        <w:spacing w:after="120" w:line="360" w:lineRule="auto"/>
        <w:jc w:val="both"/>
      </w:pPr>
      <w:r>
        <w:rPr>
          <w:rFonts w:ascii="David" w:cs="David" w:eastAsia="David" w:hAnsi="David"/>
          <w:sz w:val="24"/>
          <w:szCs w:val="24"/>
          <w:rtl/>
        </w:rPr>
        <w:t xml:space="preserve">באמצע יוני 1895, כחמישה חודשים לאחר טקס הורדת הדרגות, החל הרצל לנהל יומן, שהוקדש כולו למה שכינה "עניין היהודים". הרשימות הראשונות – שנכתבו בפריז בקדחתנות של ימים אחדים – הן המסמך החשוב ביותר להבנת התגבשות רעיונו, שכן הרצל מנסה בהן להסביר לעצמו כיצד הגיע אל הרעיון. הוא פותח בהצהרה שכבר "זמן מה" הוא עוסק ב"יצירה בעלת גדולה אינסופית", ושואל: "מתי בעצם התחלתי לעסוק בשאלת היהודים?" תשובתו היא רשימה כרונולוגית של תחנות: ספרו של דירינג, שקרא בשנת 1882; פרישתו מ"אלביה"; המאמרים על האנטישמיות הצרפתית; רעיון הטבילה ההמונית; המכתב ללייטנברגר; ו"הגטו החדש". ברשימה זו, שבה מנה הרצל בעצמו את הגורמים שהביאוהו לרעיון, פרשת דרייפוס אינה מוזכרת כלל.</w:t>
      </w:r>
      <w:r>
        <w:rPr>
          <w:rStyle w:val="FootnoteReference"/>
        </w:rPr>
        <w:footnoteReference w:id="50"/>
      </w:r>
    </w:p>
    <w:p>
      <w:pPr>
        <w:bidi/>
        <w:spacing w:after="120" w:line="360" w:lineRule="auto"/>
        <w:jc w:val="both"/>
      </w:pPr>
      <w:r>
        <w:rPr>
          <w:rFonts w:ascii="David" w:cs="David" w:eastAsia="David" w:hAnsi="David"/>
          <w:sz w:val="24"/>
          <w:szCs w:val="24"/>
          <w:rtl/>
        </w:rPr>
        <w:t xml:space="preserve">מה מופיע ביומן במקומה? שני עניינים בולטים. הראשון הוא וינה. הרצל עקב מפריז אחר הבחירות לעיריית וינה באביב 1895, שבהן זכתה מפלגתו הנוצרית־סוציאלית של לואגר ברוב, ורשם ביומנו את חרדתו מפני מה שמתרחש בעירו; בשיחה עם העיתונאי לודוויג שפיידל, שאותה תיעד ביומן, דן במקורות האנטישמיות הווינאית, ובמכתב לברון הירש כתב על "מצבם המחמיר של היהודים" באוסטריה. אבינרי הדגיש שדווקא ניצחונו של לואגר – עלייתה לשלטון של מפלגה אנטישמית מוצהרת בעיר הבירה של הליברליזם היהודי – הוא האירוע הפוליטי שהעסיק את הרצל בשבועות שבהם נולד הרעיון, ולא הפרשה הפריזאית שנחשבה אז סגורה.</w:t>
      </w:r>
      <w:r>
        <w:rPr>
          <w:rStyle w:val="FootnoteReference"/>
        </w:rPr>
        <w:footnoteReference w:id="51"/>
      </w:r>
      <w:r>
        <w:rPr>
          <w:rFonts w:ascii="David" w:cs="David" w:eastAsia="David" w:hAnsi="David"/>
          <w:sz w:val="24"/>
          <w:szCs w:val="24"/>
          <w:rtl/>
        </w:rPr>
        <w:t xml:space="preserve"> העניין השני הוא דרימון. ברשימה מ-12 ביוני 1895 כתב הרצל משפט מפתיע: "הרבה מחופש התפישה הנוכחי שלי אני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 היהודים הם גוף זר בחברה הצרפתית – שיש להסיק ממנה מסקנה מעשית. ההבדל הוא שדרימון הסיק את גירוש היהודים, והרצל – את יציאתם מרצון.</w:t>
      </w:r>
      <w:r>
        <w:rPr>
          <w:rStyle w:val="FootnoteReference"/>
        </w:rPr>
        <w:footnoteReference w:id="52"/>
      </w:r>
      <w:r>
        <w:rPr>
          <w:rFonts w:ascii="David" w:cs="David" w:eastAsia="David" w:hAnsi="David"/>
          <w:sz w:val="24"/>
          <w:szCs w:val="24"/>
          <w:rtl/>
        </w:rPr>
        <w:t xml:space="preserve"> ראוי להתעכב על הפגישה עם הברון הירש, שכן היא מלמדת על מצב הרעיון ביוני 1895. הרצל ביקש את הפגישה במכתב שבו הציג את עצמו כעיתונאי יהודי המבקש לדון ב"שאלת היהודים", והגיע אליה עם עשרים ושניים עמודים של רשימות. הוא תקף את פעולת ההתיישבות של הירש בארגנטינה כ"פילנתרופיה" המשחיתה את היהודים במקום לחנכם, וטען שיש להעמיד ליהודים מטרה לאומית גדולה – דגל – שתעורר בהם כבוד ורצון; הירש קטע אותו באמצע, והפגישה הסתיימה בלא כלום. בימים שלאחריה כתב הרצל את "הנאום לרוטשילדים" – טיוטה של כשישים עמודים שנועדה למועצת המשפחה ומעולם לא נישאה – ובה מופיעים כבר עיקרי "מדינת היהודים": האנטישמיות כתופעה בלתי הפיכה, ההגירה המאורגנת, "אגודת היהודים" ו"החברה היהודית". גם במסמכים אלה, שנכתבו בפריז, בשיא הקיץ הראשון של הרעיון, אין זכר לדרייפוס.</w:t>
      </w:r>
      <w:r>
        <w:rPr>
          <w:rStyle w:val="FootnoteReference"/>
        </w:rPr>
        <w:footnoteReference w:id="53"/>
      </w:r>
    </w:p>
    <w:p>
      <w:pPr>
        <w:bidi/>
        <w:spacing w:after="120" w:line="360" w:lineRule="auto"/>
        <w:jc w:val="both"/>
      </w:pPr>
      <w:r>
        <w:rPr>
          <w:rFonts w:ascii="David" w:cs="David" w:eastAsia="David" w:hAnsi="David"/>
          <w:sz w:val="24"/>
          <w:szCs w:val="24"/>
          <w:rtl/>
        </w:rPr>
        <w:t xml:space="preserve">מכאן ואילך מתאר היומן את פעילותו הקדחתנית של הרצל בקיץ 1895: הפגישה עם הברון מוריס דה הירש ב-2 ביוני, "הנאום לרוטשילדים" שכתב ביוני ולא נשא מעולם, ההתלבטות בין ארגנטינה לארץ ישראל, שיבתו לווינה ביולי כעורך המדור הספרותי של עיתונו, והמפגש הגורלי בנובמבר 1895 עם מקס נורדאו וישראל זנגוויל בפריז ובלונדון.</w:t>
      </w:r>
    </w:p>
    <w:p>
      <w:pPr>
        <w:pStyle w:val="Heading2"/>
        <w:bidi/>
        <w:spacing w:after="160" w:before="240" w:line="360"/>
        <w:jc w:val="right"/>
      </w:pPr>
      <w:r>
        <w:rPr>
          <w:rFonts w:ascii="David" w:cs="David" w:eastAsia="David" w:hAnsi="David"/>
          <w:b/>
          <w:bCs/>
          <w:sz w:val="28"/>
          <w:szCs w:val="28"/>
          <w:rtl/>
        </w:rPr>
        <w:t xml:space="preserve">3. "מדינת היהודים" (1896): הטיעון</w:t>
      </w:r>
    </w:p>
    <w:p>
      <w:pPr>
        <w:bidi/>
        <w:spacing w:after="120" w:line="360" w:lineRule="auto"/>
        <w:jc w:val="both"/>
      </w:pPr>
      <w:r>
        <w:rPr>
          <w:rFonts w:ascii="David" w:cs="David" w:eastAsia="David" w:hAnsi="David"/>
          <w:sz w:val="24"/>
          <w:szCs w:val="24"/>
          <w:rtl/>
        </w:rPr>
        <w:t xml:space="preserve">חוברתו של הרצל "מדינת היהודים: ניסיון לפתרון מודרני של השאלה היהודית" ראתה אור בווינה ב-14 בפברואר 1896. הטיעון שלה בנוי בהיגיון הדוק, וראוי לשחזרו בקצרה כדי לבחון את מקומה של הפרשה בו. הרצל פותח בקביעה ש"השאלה היהודית" קיימת בכל מקום שבו חיים יהודים במספר ניכר, ושהיא אינה שאלה חברתית או דתית אלא "שאלה לאומית". האמנציפציה, הוא טוען, באה מאוחר מדי: היא הוענקה ליהודים בשעה שכבר איבדו את יכולתם להיטמע, והיא אינה ניתנת לביטול משפטי אך גם אינה ניתנת למימוש חברתי, שכן העמים אינם מאפשרים ליהודים להיטמע – "אנו מנסים בכנות בכל מקום להיבלע בקרב העמים הסובבים אותנו ולשמור רק על אמונת אבותינו. אין מניחים לנו". האנטישמיות המודרנית היא לפיכך תוצאה של האמנציפציה ולא של היעדרה: היא גוברת עם התחרות הכלכלית שיוצרים היהודים המשוחררים, ואינה ניתנת לפתרון בתוך המדינות הקיימות. המסקנה: "אנו עם – עם אחד", ועם זה זקוק לטריטוריה ולריבונות. את המעשה יבצעו שני גופים: "אגודת היהודים", שתנהל את המשא ומתן המדיני, ו"החברה היהודית", שתנהל את ההגירה ואת בניית הארץ.</w:t>
      </w:r>
      <w:r>
        <w:rPr>
          <w:rStyle w:val="FootnoteReference"/>
        </w:rPr>
        <w:footnoteReference w:id="54"/>
      </w:r>
    </w:p>
    <w:p>
      <w:pPr>
        <w:bidi/>
        <w:spacing w:after="120" w:line="360" w:lineRule="auto"/>
        <w:jc w:val="both"/>
      </w:pPr>
      <w:r>
        <w:rPr>
          <w:rFonts w:ascii="David" w:cs="David" w:eastAsia="David" w:hAnsi="David"/>
          <w:sz w:val="24"/>
          <w:szCs w:val="24"/>
          <w:rtl/>
        </w:rPr>
        <w:t xml:space="preserve">בחוברת כולה, ששמה של צרפת נזכר בה פעמים אחדות כדוגמה לארץ שבה קיימת אנטישמיות אף שהאמנציפציה בה מלאה, אין הרצל מזכיר את דרייפוס ולו פעם אחת. אין זו השמטה מקרית: בפברואר 1896 היה "מקרה דרייפוס" סגור ונשכח, ומחברו של "מדינת היהודים" – שעדיין האמין באשמת דרייפוס – לא ראה בו הוכחה לטענתו. ההוכחות שהביא היו מסוג אחר: הניתוח הסוציולוגי של האנטישמיות כתופעה הנלווית לאמנציפציה, ניתוח שדוד ויטל ראה בו את התרומה החשובה ביותר של הרצל למחשבה הציונית, וטענת "הקוד התרבותי" בלשונו של הרצל – שהאנטישמיות הפכה ל"תנועה" שאין להתגונן מפניה בטיעונים.</w:t>
      </w:r>
      <w:r>
        <w:rPr>
          <w:rStyle w:val="FootnoteReference"/>
        </w:rPr>
        <w:footnoteReference w:id="55"/>
      </w:r>
      <w:r>
        <w:rPr>
          <w:rFonts w:ascii="David" w:cs="David" w:eastAsia="David" w:hAnsi="David"/>
          <w:sz w:val="24"/>
          <w:szCs w:val="24"/>
          <w:rtl/>
        </w:rPr>
        <w:t xml:space="preserve"> יש לזכור שלהרצל היה גם שיקול טקטי: החוברת נועדה לשכנע את יהודי מערב אירופה ואת מדינאיה, ופרשה שרוב דעת הקהל ראתה בה משפט בגידה מוצדק לא הייתה מסייעת לו.</w:t>
      </w:r>
    </w:p>
    <w:p>
      <w:pPr>
        <w:bidi/>
        <w:spacing w:after="120" w:line="360" w:lineRule="auto"/>
        <w:jc w:val="both"/>
      </w:pPr>
      <w:r>
        <w:rPr>
          <w:rFonts w:ascii="David" w:cs="David" w:eastAsia="David" w:hAnsi="David"/>
          <w:sz w:val="24"/>
          <w:szCs w:val="24"/>
          <w:rtl/>
        </w:rPr>
        <w:t xml:space="preserve">קבלת הפנים ל"מדינת היהודים" מאירה את מקומה של האנטישמיות בהגותו של הרצל מזווית נוספת. הממסד היהודי הליברלי בווינה – רבה הראשי של העיר מוריץ גידמן, מו"לי עיתונו של הרצל מוריץ בנדיקט ואדוארד באכר, ורוב עמיתיו – קיבל את החוברת בזעם ובמבוכה, וראה בה מתן גושפנקה לטענה האנטישמית שהיהודים הם גוף זר. לעומת זאת, "לה ליבר פארול" של דרימון פרסם בינואר 1897 ביקורת אוהדת על החוברת, ודרימון עצמו ראה בהרצל "יהודי ישר" שהודה במה שהאנטישמים טענו כל העת. הרצל לא נרתע מן האירוניה: הוא רשם ביומנו את הביקורת בסיפוק, וכתב ב"מדינת היהודים" במפורש שהאנטישמים יהיו "ידידינו הנאמנים ביותר" בהגשמת התוכנית, מאחר שהמדינות האנטישמיות יהיו "בעלות בריתנו". עמדה זו, שהתסיסה את מבקריו, נבעה מתפישתו את האנטישמיות כעובדה חברתית שאין להתווכח עמה אלא לנצלה – תפישה שלמד, כאמור, מדרימון עצמו ולא מפרשת דרייפוס, שבה נמנה דרימון עם הצד המרשיע.</w:t>
      </w:r>
      <w:r>
        <w:rPr>
          <w:rStyle w:val="FootnoteReference"/>
        </w:rPr>
        <w:footnoteReference w:id="56"/>
      </w:r>
    </w:p>
    <w:p>
      <w:pPr>
        <w:pStyle w:val="Heading2"/>
        <w:bidi/>
        <w:spacing w:after="160" w:before="240" w:line="360"/>
        <w:jc w:val="right"/>
      </w:pPr>
      <w:r>
        <w:rPr>
          <w:rFonts w:ascii="David" w:cs="David" w:eastAsia="David" w:hAnsi="David"/>
          <w:b/>
          <w:bCs/>
          <w:sz w:val="28"/>
          <w:szCs w:val="28"/>
          <w:rtl/>
        </w:rPr>
        <w:t xml:space="preserve">4. הפרשה חוזרת: 1897–1899</w:t>
      </w:r>
    </w:p>
    <w:p>
      <w:pPr>
        <w:bidi/>
        <w:spacing w:after="120" w:line="360" w:lineRule="auto"/>
        <w:jc w:val="both"/>
      </w:pPr>
      <w:r>
        <w:rPr>
          <w:rFonts w:ascii="David" w:cs="David" w:eastAsia="David" w:hAnsi="David"/>
          <w:sz w:val="24"/>
          <w:szCs w:val="24"/>
          <w:rtl/>
        </w:rPr>
        <w:t xml:space="preserve">יחסו של הרצל לפרשה השתנה עם התלקחותה מחדש בשלהי 1897. הרצל, שכבר עמד אז בראש תנועה – הקונגרס הציוני הראשון התכנס בבזל באוגוסט 1897 – ושערך את השבועון הציוני "די ולט", עקב מקרוב אחר גילויי אסטרהזי, אחר "אני מאשים" ואחר גל המהומות של 1898, והפרשה נעשתה נושא קבוע במאמריו ובנאומיו. עתה, ורק עתה, החלה הפרשה למלא בהגותו את התפקיד שייחסו לה הביוגרפים: הוכחה ניצחת לכך שגם במולדת זכויות האדם, "מאה שנה אחרי המהפכה", אין היהודי בטוח. במאמריו ב"די ולט" הציג הרצל את המהומות בצרפת ובאלג'יריה כאישור ל"מדינת היהודים", ובנאומו בקונגרס הציוני השני (אוגוסט 1898) הזכיר את הפרשה במפורש. באותה עת התקרב אל התנועה הציונית ברנאר לאזאר, שנבחר לוועד הפועל הציוני בקונגרס השני, אך פרש ממנו כעבור פחות משנה, בעיקר בשל אי־הסכמתו לסגנון המנהיגות של הרצל ולתפישתו הדיפלומטית.</w:t>
      </w:r>
      <w:r>
        <w:rPr>
          <w:rStyle w:val="FootnoteReference"/>
        </w:rPr>
        <w:footnoteReference w:id="57"/>
      </w:r>
    </w:p>
    <w:p>
      <w:pPr>
        <w:bidi/>
        <w:spacing w:after="120" w:line="360" w:lineRule="auto"/>
        <w:jc w:val="both"/>
      </w:pPr>
      <w:r>
        <w:rPr>
          <w:rFonts w:ascii="David" w:cs="David" w:eastAsia="David" w:hAnsi="David"/>
          <w:sz w:val="24"/>
          <w:szCs w:val="24"/>
          <w:rtl/>
        </w:rPr>
        <w:t xml:space="preserve">השיא של תהליך זה הוא המאמר "ציונות", שפרסם הרצל ביולי 1899 ב"נורת' אמריקן ריוויו" – חודשיים לפני משפט רן, כשהפרשה עמדה בשיא תשומת הלב העולמית. במאמר זה, שנועד לקהל אמריקני שאהדתו לדרייפוס הייתה מלאה, כתב הרצל שמשפט דרייפוס, שבו נכח בשנת 1894, הוא שעשה אותו לציוני; שדרייפוס הורשע לא על יסוד ראיות אלא משום שהיה יהודי; ושההמון הפריזאי צעק "מוות ליהודים!". הוא הוסיף: אם עם כה מתקדם ותרבותי כעם הצרפתי מסוגל לכך, מאה שנים אחרי הכרזת זכויות האדם – מה יכולים היהודים לצפות מעמים אחרים?</w:t>
      </w:r>
      <w:r>
        <w:rPr>
          <w:rStyle w:val="FootnoteReference"/>
        </w:rPr>
        <w:footnoteReference w:id="58"/>
      </w:r>
      <w:r>
        <w:rPr>
          <w:rFonts w:ascii="David" w:cs="David" w:eastAsia="David" w:hAnsi="David"/>
          <w:sz w:val="24"/>
          <w:szCs w:val="24"/>
          <w:rtl/>
        </w:rPr>
        <w:t xml:space="preserve"> ניסוח זה, שחזר עליו הרצל בגרסאות שונות עד מותו, הוא מקורו של המיתוס. הוא נכתב בידי מנהיג פוליטי המבקש לתת לתנועתו סיפור מוצא משכנע, ובשעה שהפרשה סיפקה לו את הסיפור הטוב ביותר האפשרי: לא פוליטיקה מוניציפלית וינאית עכורה, שהעולם לא הכיר, אלא דרמה עולמית שבה כל הקורא הנאור עמד לצד היהודי.</w:t>
      </w:r>
    </w:p>
    <w:p>
      <w:pPr>
        <w:bidi/>
        <w:spacing w:after="120" w:line="360" w:lineRule="auto"/>
        <w:jc w:val="both"/>
      </w:pPr>
      <w:r>
        <w:rPr>
          <w:rFonts w:ascii="David" w:cs="David" w:eastAsia="David" w:hAnsi="David"/>
          <w:sz w:val="24"/>
          <w:szCs w:val="24"/>
          <w:rtl/>
        </w:rPr>
        <w:t xml:space="preserve">מן הניתוח עולה תמונה ברורה. בשלב הגנסיס של הרעיון – מסתיו 1894 ועד פברואר 1896 – מילאה פרשת דרייפוס תפקיד שולי: היא הייתה אחד מן הרשמים שקלט הרצל בפריז, אך לא הופיעה במניין הגורמים שהוא עצמו ערך, ולא בטיעון שניסח. בשלב ההפצה והלגיטימציה – מסוף 1897 ואילך – היא נעשתה מרכזית, כראיה, כסמל וכסיפור מוצא. הפרק הבא יבחן כיצד התמודדה ההיסטוריוגרפיה עם פער זה.</w:t>
      </w:r>
    </w:p>
    <w:p>
      <w:pPr>
        <w:pStyle w:val="Heading1"/>
        <w:bidi/>
        <w:spacing w:after="160" w:before="360" w:line="360"/>
        <w:jc w:val="right"/>
      </w:pPr>
      <w:r>
        <w:rPr>
          <w:rFonts w:ascii="David" w:cs="David" w:eastAsia="David" w:hAnsi="David"/>
          <w:b/>
          <w:bCs/>
          <w:sz w:val="32"/>
          <w:szCs w:val="32"/>
          <w:rtl/>
        </w:rPr>
        <w:t xml:space="preserve">פרק ו: הוויכוח ההיסטוריוגרפי – האם הייתה פרשת דרייפוס נקודת המפנה?</w:t>
      </w:r>
    </w:p>
    <w:p>
      <w:pPr>
        <w:pStyle w:val="Heading2"/>
        <w:bidi/>
        <w:spacing w:after="160" w:before="240" w:line="360"/>
        <w:jc w:val="right"/>
      </w:pPr>
      <w:r>
        <w:rPr>
          <w:rFonts w:ascii="David" w:cs="David" w:eastAsia="David" w:hAnsi="David"/>
          <w:b/>
          <w:bCs/>
          <w:sz w:val="28"/>
          <w:szCs w:val="28"/>
          <w:rtl/>
        </w:rPr>
        <w:t xml:space="preserve">1. המסורת הביוגרפית: ביין, אלון וקיבוע המיתוס</w:t>
      </w:r>
    </w:p>
    <w:p>
      <w:pPr>
        <w:bidi/>
        <w:spacing w:after="120" w:line="360" w:lineRule="auto"/>
        <w:jc w:val="both"/>
      </w:pPr>
      <w:r>
        <w:rPr>
          <w:rFonts w:ascii="David" w:cs="David" w:eastAsia="David" w:hAnsi="David"/>
          <w:sz w:val="24"/>
          <w:szCs w:val="24"/>
          <w:rtl/>
        </w:rPr>
        <w:t xml:space="preserve">הביוגרפיה הראשונה והמשפיעה ביותר של הרצל נכתבה בידי אלכס ביין, ההיסטוריון של הארכיון הציוני, ופורסמה בגרמנית בשנת 1934, במלאת שלושים שנה למותו של הרצל. ביין, שעבד על יסוד יומני הרצל ומכתביו, היה מודע לרשימה שערך הרצל ביוני 1895 ולתחנות המוקדמות – דירינג, "אלביה", "הגטו החדש" – ותיאר אותן בפירוט. ואולם המבנה הנרטיבי של ספרו העמיד את פרשת דרייפוס במרכז: הפרק על פריז מגיע לשיאו בטקס הורדת הדרגות, ומיד לאחריו מופיע פרק "לידת הרעיון". ביין קיבל את עדותו של הרצל משנת 1899 כמהימנה, ואת טקס ינואר 1895 כרגע ההכרעה שבו "נפל האסימון". מאחר שביין היה במשך עשרות שנים המקור הביוגרפי המוסמך, ומאחר שספרו תורגם לעברית ולאנגלית ושימש בסיס לחינוך הציוני, הפך התיאור שלו לגרסה הקנונית.</w:t>
      </w:r>
      <w:r>
        <w:rPr>
          <w:rStyle w:val="FootnoteReference"/>
        </w:rPr>
        <w:footnoteReference w:id="59"/>
      </w:r>
    </w:p>
    <w:p>
      <w:pPr>
        <w:bidi/>
        <w:spacing w:after="120" w:line="360" w:lineRule="auto"/>
        <w:jc w:val="both"/>
      </w:pPr>
      <w:r>
        <w:rPr>
          <w:rFonts w:ascii="David" w:cs="David" w:eastAsia="David" w:hAnsi="David"/>
          <w:sz w:val="24"/>
          <w:szCs w:val="24"/>
          <w:rtl/>
        </w:rPr>
        <w:t xml:space="preserve">עמוס אלון, בביוגרפיה הפופולרית שפרסם בשנת 1975, העמיק את התיאור הדרמטי. אלון, סופר ועיתונאי, כתב את סצנת הורדת הדרגות בכישרון ספרותי רב, ושילב בה את קריאות "מוות ליהודים" של ההמון כעובדה, בעקבות הרצל של 1899; הוא אמנם הצביע על המשבר האישי של הרצל בשנים 1893–1895 – נישואיו הכושלים, תסכולו כמחזאי, חרדת גיל הארבעים – אך הציג את הפרשה כ"זרז" שהפך את המשבר לרעיון. גם דזמונד סטיוארט, בביוגרפיה משנת 1974, אימץ תמונה דומה.</w:t>
      </w:r>
      <w:r>
        <w:rPr>
          <w:rStyle w:val="FootnoteReference"/>
        </w:rPr>
        <w:footnoteReference w:id="60"/>
      </w:r>
      <w:r>
        <w:rPr>
          <w:rFonts w:ascii="David" w:cs="David" w:eastAsia="David" w:hAnsi="David"/>
          <w:sz w:val="24"/>
          <w:szCs w:val="24"/>
          <w:rtl/>
        </w:rPr>
        <w:t xml:space="preserve"> יש לציין שהמסורת הביוגרפית לא הייתה נאיבית: כל הביוגרפים ידעו שהרצל נחשף לאנטישמיות לפני 1894. ההבדל בין המסורת הזאת לבין הביקורת שתידון להלן אינו בעובדות אלא במשקל: המסורת ראתה בתחנות המוקדמות "הכנה" ובפרשה "הכרעה", ואילו הביקורת הפכה את היוצרות.</w:t>
      </w:r>
    </w:p>
    <w:p>
      <w:pPr>
        <w:bidi/>
        <w:spacing w:after="120" w:line="360" w:lineRule="auto"/>
        <w:jc w:val="both"/>
      </w:pPr>
      <w:r>
        <w:rPr>
          <w:rFonts w:ascii="David" w:cs="David" w:eastAsia="David" w:hAnsi="David"/>
          <w:sz w:val="24"/>
          <w:szCs w:val="24"/>
          <w:rtl/>
        </w:rPr>
        <w:t xml:space="preserve">עמדת ביניים מעניינת הציע סטיבן בלר בביוגרפיה הקצרה שפרסם בשנת 1991. בלר, היסטוריון של יהדות וינה, קיבל את הטענה שהרקע הווינאי חשוב יותר מן הפריזאי, אך טען שיש להבחין בין "הסיבה" למהפך לבין "המסגרת" שלו: וינה סיפקה את הסיבה – משבר הליברליזם ועליית לואגר –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לפי בלר, אלמלא שהה הרצל בפריז, ייתכן שהיה מגיע למסקנה מקומית יותר – שאוסטריה איננה מקום ליהודים – ולא למסקנה הכללית שאין מקום ליהודים באירופה כולה.</w:t>
      </w:r>
      <w:r>
        <w:rPr>
          <w:rStyle w:val="FootnoteReference"/>
        </w:rPr>
        <w:footnoteReference w:id="61"/>
      </w:r>
    </w:p>
    <w:p>
      <w:pPr>
        <w:pStyle w:val="Heading2"/>
        <w:bidi/>
        <w:spacing w:after="160" w:before="240" w:line="360"/>
        <w:jc w:val="right"/>
      </w:pPr>
      <w:r>
        <w:rPr>
          <w:rFonts w:ascii="David" w:cs="David" w:eastAsia="David" w:hAnsi="David"/>
          <w:b/>
          <w:bCs/>
          <w:sz w:val="28"/>
          <w:szCs w:val="28"/>
          <w:rtl/>
        </w:rPr>
        <w:t xml:space="preserve">2. הביקורת: קורנברג, אבינרי ו"וינה במקום פריז"</w:t>
      </w:r>
    </w:p>
    <w:p>
      <w:pPr>
        <w:bidi/>
        <w:spacing w:after="120" w:line="360" w:lineRule="auto"/>
        <w:jc w:val="both"/>
      </w:pPr>
      <w:r>
        <w:rPr>
          <w:rFonts w:ascii="David" w:cs="David" w:eastAsia="David" w:hAnsi="David"/>
          <w:sz w:val="24"/>
          <w:szCs w:val="24"/>
          <w:rtl/>
        </w:rPr>
        <w:t xml:space="preserve">הערעור השיטתי הראשון על התיאור הקנוני בא במאמרו של ז'ק קורנברג "תיאודור הרצל: הערכה מחודשת" (1980), ובספרו "תיאודור הרצל: מהתבוללות לציונות" (1993). קורנברג ביסס את טענתו על שלוש ראיות: על דיווחיו של הרצל מפריז, שמהם עולה שקיבל את אשמת דרייפוס ולא הזכיר קריאות אנטישמיות; על שתיקת היומן מיוני 1895 בעניין דרייפוס; ועל "הגטו החדש", שנכתב לפני המשפט ומוכיח שהמשבר קדם לפרשה. את הסבר המהפך חיפש קורנברג בתחום הפסיכולוגי־תרבותי: הציונות של הרצל הייתה, לדעתו, פתרון למשבר של זהות יהודית מתבוללת שהפנימה את הבוז של הסביבה, וניסיון "להחזיר ליהודים את כבודם" – מוטיב חוזר בכתביו – באמצעות הפיכתם לעם ריבוני, לוחם ומכובד. הפרשה, במסגרת זו, אינה אלא רשם נוסף ששולב בדיעבד בסיפור.</w:t>
      </w:r>
      <w:r>
        <w:rPr>
          <w:rStyle w:val="FootnoteReference"/>
        </w:rPr>
        <w:footnoteReference w:id="62"/>
      </w:r>
    </w:p>
    <w:p>
      <w:pPr>
        <w:bidi/>
        <w:spacing w:after="120" w:line="360" w:lineRule="auto"/>
        <w:jc w:val="both"/>
      </w:pPr>
      <w:r>
        <w:rPr>
          <w:rFonts w:ascii="David" w:cs="David" w:eastAsia="David" w:hAnsi="David"/>
          <w:sz w:val="24"/>
          <w:szCs w:val="24"/>
          <w:rtl/>
        </w:rPr>
        <w:t xml:space="preserve">שלמה אבינרי, שעסק בהרצל בסדרת חיבורים – מן הפרק ב"הרעיון הציוני לגווניו" (1980) דרך המאמר על יומני הרצל כ"רומן חניכה" (1999) ועד לביוגרפיה הקצרה משנת 2007 – חידד את הביקורת והעביר את מרכז הכובד מפריז לווינה. לפי אבינרי, הפוליטיקה שהעסיקה את הרצל באביב וקיץ 1895 הייתה הפוליטיקה הווינאית: ניצחון הנוצרים־סוציאלים בבחירות לעירייה, בחירתו של לואגר לראש העירייה וסירובו של הקיסר לאשרה. הרצל, איש וינה שנועד לשוב אליה בקיץ 1895, ראה בעליית לואגר את קץ העידן הליברלי שבו יכלו יהודי אוסטריה לראות את עצמם כאזרחים שווים, ואת הראיה לכך שהאמנציפציה, שהושגה בשנת 1867, ניתנת לביטול בפועל, אם לא בחוק. אבינרי הוסיף טיעון היסטוריוגרפי: הרצל בנה בשנת 1899 את "מיתוס דרייפוס" משום שהיה זקוק לסיפור מוצא שידבר אל יהודי המערב, ולא אל סכסוכים מקומיים באוסטריה; ההיסטוריונים הציונים אימצו את המיתוס משום שהוא סיפק לתנועה ציווי מוסרי אוניברסלי – הציונות כתשובה לכישלון הנאורות, ולא לפוליטיקה עירונית.</w:t>
      </w:r>
      <w:r>
        <w:rPr>
          <w:rStyle w:val="FootnoteReference"/>
        </w:rPr>
        <w:footnoteReference w:id="63"/>
      </w:r>
    </w:p>
    <w:p>
      <w:pPr>
        <w:bidi/>
        <w:spacing w:after="120" w:line="360" w:lineRule="auto"/>
        <w:jc w:val="both"/>
      </w:pPr>
      <w:r>
        <w:rPr>
          <w:rFonts w:ascii="David" w:cs="David" w:eastAsia="David" w:hAnsi="David"/>
          <w:sz w:val="24"/>
          <w:szCs w:val="24"/>
          <w:rtl/>
        </w:rPr>
        <w:t xml:space="preserve">חיזוק לגישה זו בא מכיוון אחר, מן ההיסטוריה התרבותית של וינה. קרל שורסקה, כאמור, הציג את הרצל כחלק מ"השלישייה האוסטרית" – שנרר, לואגר והרצל – שיצרה את "הפוליטיקה בסולם חדש"; לפי קריאתו, הרצל לא רק הגיב על האנטישמים הווינאים אלא למד מהם, וניתן להבין את הציונות שלו רק בהקשר הווינאי של שקיעת הליברליזם ועליית פוליטיקת ההמונים. רוברט ויסטריך, בספרו על יהודי וינה בעידן פרנץ יוזף ובמאמרו "הרצל: אייקון ציוני, יוצר מיתוסים ואוטופיסט חברתי", הדגיש אף הוא את המקור הווינאי ואת כישרונו של הרצל לבנות מיתוסים – ובכלל זה את מיתוס הולדתו שלו כציוני.</w:t>
      </w:r>
      <w:r>
        <w:rPr>
          <w:rStyle w:val="FootnoteReference"/>
        </w:rPr>
        <w:footnoteReference w:id="64"/>
      </w:r>
      <w:r>
        <w:rPr>
          <w:rFonts w:ascii="David" w:cs="David" w:eastAsia="David" w:hAnsi="David"/>
          <w:sz w:val="24"/>
          <w:szCs w:val="24"/>
          <w:rtl/>
        </w:rPr>
        <w:t xml:space="preserve"> אפשר להוסיף שגישת "הקוד התרבותי" של וולקוב תומכת אף היא בקריאה זו: אם האנטישמיות של הרייך השני ושל וינה הייתה סימן היכר של מחנה תרבותי שלם, הרי שניצחונו של מחנה זה בבחירות – ולא משפט צבאי בודד בארץ זרה – הוא שהיה מבחינת יהודי ליברלי כהרצל האות לכישלון הפרויקט הליברלי.</w:t>
      </w:r>
    </w:p>
    <w:p>
      <w:pPr>
        <w:pStyle w:val="Heading2"/>
        <w:bidi/>
        <w:spacing w:after="160" w:before="240" w:line="360"/>
        <w:jc w:val="right"/>
      </w:pPr>
      <w:r>
        <w:rPr>
          <w:rFonts w:ascii="David" w:cs="David" w:eastAsia="David" w:hAnsi="David"/>
          <w:b/>
          <w:bCs/>
          <w:sz w:val="28"/>
          <w:szCs w:val="28"/>
          <w:rtl/>
        </w:rPr>
        <w:t xml:space="preserve">3. הערכה: מה נותר מן הפרשה?</w:t>
      </w:r>
    </w:p>
    <w:p>
      <w:pPr>
        <w:bidi/>
        <w:spacing w:after="120" w:line="360" w:lineRule="auto"/>
        <w:jc w:val="both"/>
      </w:pPr>
      <w:r>
        <w:rPr>
          <w:rFonts w:ascii="David" w:cs="David" w:eastAsia="David" w:hAnsi="David"/>
          <w:sz w:val="24"/>
          <w:szCs w:val="24"/>
          <w:rtl/>
        </w:rPr>
        <w:t xml:space="preserve">האם יש לקבל את הביקורת במלואה ולפסוק שפרשת דרייפוס לא מילאה כל תפקיד בהגותו של הרצל? עיון מחודש בממצאים מציע תשובה מסויגת יותר, בשלוש רמות.</w:t>
      </w:r>
    </w:p>
    <w:p>
      <w:pPr>
        <w:bidi/>
        <w:spacing w:after="120" w:line="360" w:lineRule="auto"/>
        <w:jc w:val="both"/>
      </w:pPr>
      <w:r>
        <w:rPr>
          <w:rFonts w:ascii="David" w:cs="David" w:eastAsia="David" w:hAnsi="David"/>
          <w:sz w:val="24"/>
          <w:szCs w:val="24"/>
          <w:rtl/>
        </w:rPr>
        <w:t xml:space="preserve">ברמה העובדתית, הביקורת צודקת. הרצל לא הפך לציוני בטקס הורדת הדרגות; המקורות בני הזמן מלמדים על קיבול אשמתו של דרייפוס ועל היעדר ההלם המיוחס להרצל; והפרשה נעדרת מן היומן ומ"מדינת היהודים". על עובדות אלה אין עוד חולק, וגם הביוגרפיה החדשה של דרק פנסלר (2020), המבקשת לשקם חלק מן התיאור הביוגרפי הישן, מקבלת אותן.</w:t>
      </w:r>
      <w:r>
        <w:rPr>
          <w:rStyle w:val="FootnoteReference"/>
        </w:rPr>
        <w:footnoteReference w:id="65"/>
      </w:r>
    </w:p>
    <w:p>
      <w:pPr>
        <w:bidi/>
        <w:spacing w:after="120" w:line="360" w:lineRule="auto"/>
        <w:jc w:val="both"/>
      </w:pPr>
      <w:r>
        <w:rPr>
          <w:rFonts w:ascii="David" w:cs="David" w:eastAsia="David" w:hAnsi="David"/>
          <w:sz w:val="24"/>
          <w:szCs w:val="24"/>
          <w:rtl/>
        </w:rPr>
        <w:t xml:space="preserve">ברמה הפרשנית, עם זאת, פנסלר הציע תיקון ראוי. לדעתו, השאלה "מה גרם להרצל להפוך לציוני" מניחה מודל של סיבה ותוצאה שאינו הולם את האופן שבו מתחוללים מהפכים אינטלקטואליים. הרצל של 1895 היה אדם במשבר – אישי, מקצועי ואידיאולוגי כאחד – שנמצא במצב של פתיחות קיצונית לרשמים, ושבו הצטברו במשך שנים תובנות שהמתינו לניסוח. הפרשה, כמו ניצחון לואגר, כמו דרימון, כמו שערוריית פנמה, הייתה חלק מן ההצטברות הזאת; אין טעם לבודד גורם אחד ולהכתירו כמכריע. מה שהיה ייחודי בפרשה, לדעת פנסלר, אינו תוכנה אלא הצורה שבה נחשף אליה הרצל: הוא ראה במו עיניו טקס השפלה פומבי של יהודי, במקום מרכזי, לקול המולת המון – חוויה חושית ורגשית מן הסוג שסוזנה השל ביקשה להחזיר אל חקר האנטישמיות. חוויה זו לא הולידה את הרעיון, אך היא סיפקה לו, בדיעבד, את הדימוי המרכזי שלו.</w:t>
      </w:r>
      <w:r>
        <w:rPr>
          <w:rStyle w:val="FootnoteReference"/>
        </w:rPr>
        <w:footnoteReference w:id="66"/>
      </w:r>
    </w:p>
    <w:p>
      <w:pPr>
        <w:bidi/>
        <w:spacing w:after="120" w:line="360" w:lineRule="auto"/>
        <w:jc w:val="both"/>
      </w:pPr>
      <w:r>
        <w:rPr>
          <w:rFonts w:ascii="David" w:cs="David" w:eastAsia="David" w:hAnsi="David"/>
          <w:sz w:val="24"/>
          <w:szCs w:val="24"/>
          <w:rtl/>
        </w:rPr>
        <w:t xml:space="preserve">ברמה ההיסטורית הרחבה, יש להוסיף שיקול שהוויכוח הביוגרפי נוטה להזניח: ההבדל בין השפעת הפרשה על הרצל לבין השפעתה על התנועה הציונית. גם אם לא הפרשה עשתה את הרצל לציוני, היא מילאה תפקיד מרכזי בהצלחת הציונות בשנים 1898–1904. בשנים אלה, כשהפרשה עמדה בשיא פרסומה, סיפקה היא לתנועה הצעירה את הטיעון הנוח ביותר במשא ומתן עם יהודי המערב ועם מדינאי אירופה; היא הביאה אל התנועה, לזמן קצר או ארוך, אינטלקטואלים יהודים כלאזאר וכנורדאו, שהתגוררו בפריז וחוו את הפרשה מקרוב; והיא העניקה למנהיגה סיפור מוצא שהפך אותו מפיליטוניסט וינאי ל"נביא" שראה בפריז את הכתובת על הקיר. במובן זה, המיתוס שיצר הרצל היה עצמו גורם היסטורי, ואת פועלו של המיתוס אין לבטל בביטול אמיתותו.</w:t>
      </w:r>
    </w:p>
    <w:p>
      <w:pPr>
        <w:bidi/>
        <w:spacing w:after="120" w:line="360" w:lineRule="auto"/>
        <w:jc w:val="both"/>
      </w:pPr>
      <w:r>
        <w:rPr>
          <w:rFonts w:ascii="David" w:cs="David" w:eastAsia="David" w:hAnsi="David"/>
          <w:sz w:val="24"/>
          <w:szCs w:val="24"/>
          <w:rtl/>
        </w:rPr>
        <w:t xml:space="preserve">התמונה המצטיירת אפוא היא של שני שלבים. בשלב הראשון, שלב לידת הרעיון (1894–1896), מילאה פרשת דרייפוס תפקיד משני ומאוחר, לצד – ואף אחרי – הגורמים הווינאים, הפסיכולוגיים והאינטלקטואליים שמנו קורנברג ואבינרי. בשלב השני, שלב ההפצה והמיסוד (1897–1904), הפכה הפרשה למרכזית: כראיה, כסמל וכמיתוס מכונן שהרצל עצמו עיצב. ההבחנה בין השלבים מאפשרת לקבל את הביקורת ההיסטוריוגרפית מבלי לוותר על ההכרה במשמעות ההיסטורית של הפרשה לתולדות הציונות.</w:t>
      </w:r>
    </w:p>
    <w:p>
      <w:pPr>
        <w:pStyle w:val="Heading1"/>
        <w:bidi/>
        <w:spacing w:after="160" w:before="360" w:line="360"/>
        <w:jc w:val="right"/>
      </w:pPr>
      <w:r>
        <w:rPr>
          <w:rFonts w:ascii="David" w:cs="David" w:eastAsia="David" w:hAnsi="David"/>
          <w:b/>
          <w:bCs/>
          <w:sz w:val="32"/>
          <w:szCs w:val="32"/>
          <w:rtl/>
        </w:rPr>
        <w:t xml:space="preserve">סיכום</w:t>
      </w:r>
    </w:p>
    <w:p>
      <w:pPr>
        <w:bidi/>
        <w:spacing w:after="120" w:line="360" w:lineRule="auto"/>
        <w:jc w:val="both"/>
      </w:pPr>
      <w:r>
        <w:rPr>
          <w:rFonts w:ascii="David" w:cs="David" w:eastAsia="David" w:hAnsi="David"/>
          <w:sz w:val="24"/>
          <w:szCs w:val="24"/>
          <w:rtl/>
        </w:rPr>
        <w:t xml:space="preserve">עבודה זו יצאה מן השאלה באיזו מידה הייתה פרשת דרייפוס גורם מכריע במעבר של תיאודור הרצל מתמיכה בהתבוללות לגיבוש הרעיון הציוני המדיני, ומה היו הגורמים הנוספים שהשפיעו על מהפך זה. התשובה שהתגבשה במהלך הדיון היא כפולה, והיא נשענת על הבחנה בין שני שלבים בהתפתחות הגותו של הרצל.</w:t>
      </w:r>
    </w:p>
    <w:p>
      <w:pPr>
        <w:bidi/>
        <w:spacing w:after="120" w:line="360" w:lineRule="auto"/>
        <w:jc w:val="both"/>
      </w:pPr>
      <w:r>
        <w:rPr>
          <w:rFonts w:ascii="David" w:cs="David" w:eastAsia="David" w:hAnsi="David"/>
          <w:sz w:val="24"/>
          <w:szCs w:val="24"/>
          <w:rtl/>
        </w:rPr>
        <w:t xml:space="preserve">בשלב הראשון – מסתיו 1894, כשכתב את "הגטו החדש", ועד פברואר 1896, כשפרסם את "מדינת היהודים" – לא הייתה פרשת דרייפוס גורם מכריע. הראיות לכך חד־משמעיות: הרצל קיבל בזמן אמת את אשמתו של דרייפוס; דיווחיו מטקס הורדת הדרגות אינם מזכירים קריאות אנטישמיות; היומן שפתח ביוני 1895, שבו מנה בעצמו את תחנות דרכו אל הרעיון, אינו מזכיר את הפרשה; ו"מדינת היהודים" אינו מזכיר את דרייפוס כלל. במקום הפרשה עולה מן המקורות שרשרת של גורמים אחרים. הראשון שבהם הוא ההיכרות הממושכת של הרצל עם האנטישמיות הגרמנית והאוסטרית – מספרו של דירינג (1882) ופרישתו מ"אלביה" (1883) ועד לעליית לואגר לשלטון בווינה באביב 1895, שהייתה מבחינתו הראיה לכך שהעידן הליברלי, שבו הייתה האמנציפציה מובנת מאליה, הגיע לקצו. השני הוא בית הספר הפוליטי של פריז: ארבע שנים של סיקור הפוליטיקה ההמונית של הרפובליקה השלישית, שערוריית פנמה והתעמולה של דרימון, שלימדו את הרצל – בהודאתו שלו – לראות את השאלה היהודית כשאלה לאומית אובייקטיבית ולא כדעה קדומה שיש לחנך נגדה. השלישי הוא המשבר האישי: הזהות המתבוללת שהפנימה את בוז הסביבה, שאיפת הכבוד, המשבר המקצועי והמשפחתי, שהפכו את הרצל בשנת 1895 לאדם המחפש נואשות תשובה כוללת. הרביעי הוא ההקשר הכללי של האנטישמיות המודרנית, שכפי שהוצג בפרק הראשון, הופיעה למן שנות השבעים כתגובה על האמנציפציה עצמה, ושכ"קוד תרבותי" של מחנה פוליטי שלם לא ניתן היה להתגונן מפניה בטיעונים – תובנה שהרצל ניסח ב"מדינת היהודים" בלשונו שלו.</w:t>
      </w:r>
    </w:p>
    <w:p>
      <w:pPr>
        <w:bidi/>
        <w:spacing w:after="120" w:line="360" w:lineRule="auto"/>
        <w:jc w:val="both"/>
      </w:pPr>
      <w:r>
        <w:rPr>
          <w:rFonts w:ascii="David" w:cs="David" w:eastAsia="David" w:hAnsi="David"/>
          <w:sz w:val="24"/>
          <w:szCs w:val="24"/>
          <w:rtl/>
        </w:rPr>
        <w:t xml:space="preserve">בשלב השני – מן ההתלקחות המחודשת של הפרשה בשלהי 1897, דרך "אני מאשים" של זולא ומהומות 1898, ועד למותו של הרצל בשנת 1904 – נעשתה הפרשה מרכזית בהגותו וברטוריקה שלו. עתה, כמנהיג של תנועה שחיפשה לגיטימציה, ראה בה הרצל את ההוכחה הניצחת לטענתו שגם במולדת זכויות האדם אין היהודי בטוח; עתה כתב, במאמרו משנת 1899, ש"משפט דרייפוס הוא שעשה אותי לציוני", ועיצב את המיתוס שיאמצו ביוגרפים מביין ועד אלון. המיתוס לא היה אמת ביוגרפית, אך הוא היה עובדה היסטורית: הוא סיפק לתנועה הציונית סיפור מוצא אוניברסלי, קירב אליה אינטלקטואלים כברנאר לאזאר, והעניק למנהיגה הילה של מי שקרא את הכתובת על הקיר.</w:t>
      </w:r>
    </w:p>
    <w:p>
      <w:pPr>
        <w:bidi/>
        <w:spacing w:after="120" w:line="360" w:lineRule="auto"/>
        <w:jc w:val="both"/>
      </w:pPr>
      <w:r>
        <w:rPr>
          <w:rFonts w:ascii="David" w:cs="David" w:eastAsia="David" w:hAnsi="David"/>
          <w:sz w:val="24"/>
          <w:szCs w:val="24"/>
          <w:rtl/>
        </w:rPr>
        <w:t xml:space="preserve">מסקנה זו נסמכת על שלושת המעגלים שנבחנו בעבודה. הדיון באנטישמיות המודרנית הראה שההבדל בין המקרה הצרפתי – אנטישמיות רטורית עוצמתית אך חלשה פוליטית – לבין המקרה האוסטרי, שבו כבשה האנטישמיות את השלטון בעיר הבירה, מסביר מדוע היה הרצל רגיש יותר לחדשות מווינה מאשר לדרמה בפריז. הדיון בפרשת דרייפוס ובתפקידו של זולא הראה שהפרשה הפכה לאירוע פאן־אירופי רק בינואר 1898, ולכן לא יכלה למלא בשנת 1895 את התפקיד שיוחס לה. והדיון בביוגרפיה של הרצל הראה שהמשבר שהוליד את הציונות שלו קדם לפרשה, ושהפרשה הצטרפה אליו כרשם נוסף ולא כסיבה.</w:t>
      </w:r>
    </w:p>
    <w:p>
      <w:pPr>
        <w:bidi/>
        <w:spacing w:after="120" w:line="360" w:lineRule="auto"/>
        <w:jc w:val="both"/>
      </w:pPr>
      <w:r>
        <w:rPr>
          <w:rFonts w:ascii="David" w:cs="David" w:eastAsia="David" w:hAnsi="David"/>
          <w:sz w:val="24"/>
          <w:szCs w:val="24"/>
          <w:rtl/>
        </w:rPr>
        <w:t xml:space="preserve">בכך משתלבת העבודה בוויכוח ההיסטוריוגרפי שהוצג בפרק הראשון. גישתו של דוד אנגל, הקוראת להסביר כל תופעה בהקשרה הקונקרטי במקום להניח "אנטישמיות" אחת ורצופה, הוכיחה את ערכה: רק בחינה קונקרטית של מה שראה הרצל, מה שכתב ומתי כתב מאפשרת להבחין בין הפרשה כגורם לבין הפרשה כסיפור. אך גם הסתייגותה של סוזנה השל נמצאה מועילה: החוויה החושית של טקס ההשפלה, גם אם לא הולידה את הרעיון, סיפקה לו את הדימוי שבאמצעותו נחרת בזיכרון. ההיסטוריה של הרעיונות, כפי שמלמד המקרה של הרצל, אינה רק היסטוריה של סיבות אלא גם היסטוריה של הסיפורים שמספרים על הסיבות – והסיפור על הרצל בחצר בית הספר הצבאי, גם משנתברר שאינו מדויק, נותר אחד הסיפורים החשובים בתולדות הציונות.</w:t>
      </w:r>
    </w:p>
    <w:p>
      <w:pPr>
        <w:bidi/>
        <w:spacing w:after="120" w:line="360" w:lineRule="auto"/>
        <w:jc w:val="both"/>
      </w:pPr>
      <w:r>
        <w:rPr>
          <w:rFonts w:ascii="David" w:cs="David" w:eastAsia="David" w:hAnsi="David"/>
          <w:sz w:val="24"/>
          <w:szCs w:val="24"/>
          <w:rtl/>
        </w:rPr>
        <w:t xml:space="preserve">לסיום ראוי לציין את מגבלותיה של העבודה ואת הכיוונים שהיא פותחת למחקר נוסף. העבודה נשענה על יומני הרצל ועל כתביו המרכזיים, אך לא על התכתבותו הענפה ולא על מלוא הדיווחים שפרסם ב"נויה פרייה פרסה" בשנים 1891–1895; בחינה שיטתית של דיווחים אלה, שרק חלקם כונסו, עשויה לדייק את התמונה של השפעת פריז עליו. כמו כן, העבודה התמקדה בהרצל, ולא בשאלה הרחבה יותר כיצד השפיעה הפרשה על התנועה הציונית בצרפת עצמה ועל יהודים כלאזאר, נורדאו ואנדרה ספיר, שאצלם – בניגוד להרצל – הייתה הפרשה אכן נקודת המפנה. השוואה בין הדרך שבה עיבדו יהודי צרפת את הפרשה לבין הדרך שבה עיבד אותה איש וינה עשויה להאיר מזווית חדשה את השאלה שבה עסקה עבודה זו: לא רק מה עשתה הפרשה להרצל, אלא מה עשה הרצל לפרשה.</w:t>
      </w:r>
    </w:p>
    <w:p>
      <w:r>
        <w:br w:type="page"/>
      </w:r>
    </w:p>
    <w:p>
      <w:pPr>
        <w:pStyle w:val="Heading1"/>
        <w:bidi/>
        <w:spacing w:after="160" w:before="360" w:line="360"/>
        <w:jc w:val="right"/>
      </w:pPr>
      <w:r>
        <w:rPr>
          <w:rFonts w:ascii="David" w:cs="David" w:eastAsia="David" w:hAnsi="David"/>
          <w:b/>
          <w:bCs/>
          <w:sz w:val="32"/>
          <w:szCs w:val="32"/>
          <w:rtl/>
        </w:rPr>
        <w:t xml:space="preserve">ביבליוגרפיה</w:t>
      </w:r>
    </w:p>
    <w:p>
      <w:pPr>
        <w:pStyle w:val="Heading2"/>
        <w:bidi/>
        <w:spacing w:after="160" w:before="240" w:line="360"/>
        <w:jc w:val="right"/>
      </w:pPr>
      <w:r>
        <w:rPr>
          <w:rFonts w:ascii="David" w:cs="David" w:eastAsia="David" w:hAnsi="David"/>
          <w:b/>
          <w:bCs/>
          <w:sz w:val="28"/>
          <w:szCs w:val="28"/>
          <w:rtl/>
        </w:rPr>
        <w:t xml:space="preserve">מקורות ראשוניים</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w:t>
      </w:r>
    </w:p>
    <w:p>
      <w:pPr>
        <w:bidi w:val="false"/>
        <w:spacing w:after="240" w:line="240" w:lineRule="auto"/>
        <w:ind w:left="720" w:hanging="720"/>
        <w:jc w:val="left"/>
      </w:pPr>
      <w:r>
        <w:rPr>
          <w:rFonts w:ascii="David" w:cs="David" w:eastAsia="David" w:hAnsi="David"/>
          <w:sz w:val="24"/>
          <w:szCs w:val="24"/>
          <w:rtl w:val="false"/>
        </w:rPr>
        <w:t xml:space="preserve">Drumont, É. (1886). </w:t>
      </w:r>
      <w:r>
        <w:rPr>
          <w:rFonts w:ascii="David" w:cs="David" w:eastAsia="David" w:hAnsi="David"/>
          <w:i/>
          <w:iCs/>
          <w:sz w:val="24"/>
          <w:szCs w:val="24"/>
          <w:rtl w:val="false"/>
        </w:rPr>
        <w:t xml:space="preserve">La France juive: Essai d'histoire contemporaine</w:t>
      </w:r>
      <w:r>
        <w:rPr>
          <w:rFonts w:ascii="David" w:cs="David" w:eastAsia="David" w:hAnsi="David"/>
          <w:sz w:val="24"/>
          <w:szCs w:val="24"/>
          <w:rtl w:val="false"/>
        </w:rPr>
        <w:t xml:space="preserve"> (2 vols.). Paris: Marpon &amp; Flammarion.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from Project Gutenberg, ebook no. 76045: https://www.gutenberg.org/ebooks/76045</w:t>
      </w:r>
    </w:p>
    <w:p>
      <w:pPr>
        <w:pStyle w:val="Heading2"/>
        <w:bidi/>
        <w:spacing w:after="160" w:before="240" w:line="360"/>
        <w:jc w:val="right"/>
      </w:pPr>
      <w:r>
        <w:rPr>
          <w:rFonts w:ascii="David" w:cs="David" w:eastAsia="David" w:hAnsi="David"/>
          <w:b/>
          <w:bCs/>
          <w:sz w:val="28"/>
          <w:szCs w:val="28"/>
          <w:rtl/>
        </w:rPr>
        <w:t xml:space="preserve">מקורות מחקריים בעברית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w:t>
      </w:r>
    </w:p>
    <w:p>
      <w:pPr>
        <w:pStyle w:val="Heading2"/>
        <w:bidi/>
        <w:spacing w:after="160" w:before="240" w:line="360"/>
        <w:jc w:val="right"/>
      </w:pPr>
      <w:r>
        <w:rPr>
          <w:rFonts w:ascii="David" w:cs="David" w:eastAsia="David" w:hAnsi="David"/>
          <w:b/>
          <w:bCs/>
          <w:sz w:val="28"/>
          <w:szCs w:val="28"/>
          <w:rtl/>
        </w:rPr>
        <w:t xml:space="preserve">מקורות מחקריים באנגלית</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Burns, M. (1991). </w:t>
      </w:r>
      <w:r>
        <w:rPr>
          <w:rFonts w:ascii="David" w:cs="David" w:eastAsia="David" w:hAnsi="David"/>
          <w:i/>
          <w:iCs/>
          <w:sz w:val="24"/>
          <w:szCs w:val="24"/>
          <w:rtl w:val="false"/>
        </w:rPr>
        <w:t xml:space="preserve">Dreyfus: A family affair, 1789–1945</w:t>
      </w:r>
      <w:r>
        <w:rPr>
          <w:rFonts w:ascii="David" w:cs="David" w:eastAsia="David" w:hAnsi="David"/>
          <w:sz w:val="24"/>
          <w:szCs w:val="24"/>
          <w:rtl w:val="false"/>
        </w:rPr>
        <w:t xml:space="preserve">. New York: HarperCollins.</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Theodor Herzl, "Zionism," </w:t>
      </w:r>
      <w:r>
        <w:rPr>
          <w:rFonts w:ascii="David" w:cs="David" w:eastAsia="David" w:hAnsi="David"/>
          <w:i/>
          <w:iCs/>
          <w:sz w:val="20"/>
          <w:szCs w:val="20"/>
          <w:rtl/>
        </w:rPr>
        <w:t xml:space="preserve">The North American Review</w:t>
      </w:r>
      <w:r>
        <w:rPr>
          <w:rFonts w:ascii="David" w:cs="David" w:eastAsia="David" w:hAnsi="David"/>
          <w:sz w:val="20"/>
          <w:szCs w:val="20"/>
          <w:rtl/>
        </w:rPr>
        <w:t xml:space="preserve"> 169 (July 1899), pp. 1–8. הרצל חזר על הקביעה בנוסחים שונים גם בנאומים ובמאמרים בשנים 1899–1904. לדיון בקביעה זו ראו: 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פרק 3.</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9–17.</w:t>
      </w:r>
    </w:p>
  </w:footnote>
  <w:footnote w:id="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(תל אביב: מורשת וספרית פועלים, 1978), עמ' 1–28.</w:t>
      </w:r>
    </w:p>
  </w:footnote>
  <w:footnote w:id="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שם, עמ' 29–46.</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8">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5–30.</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rPr>
        <w:t xml:space="preserve">, pp. 88–105; 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rPr>
        <w:t xml:space="preserve"> 23 (1978), pp. 25–46; 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148–155; 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205–229.</w:t>
      </w:r>
    </w:p>
  </w:footnote>
  <w:footnote w:id="1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230–256;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57–59.</w:t>
      </w:r>
    </w:p>
  </w:footnote>
  <w:footnote w:id="1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347–380.</w:t>
      </w:r>
    </w:p>
  </w:footnote>
  <w:footnote w:id="1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146–175.</w:t>
      </w:r>
    </w:p>
  </w:footnote>
  <w:footnote w:id="1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rPr>
        <w:t xml:space="preserve"> (Berkeley: University of California Press, 1998), pp. 89–95; 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w:t>
      </w:r>
    </w:p>
  </w:footnote>
  <w:footnote w:id="1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Édouard Drumont, </w:t>
      </w:r>
      <w:r>
        <w:rPr>
          <w:rFonts w:ascii="David" w:cs="David" w:eastAsia="David" w:hAnsi="David"/>
          <w:i/>
          <w:iCs/>
          <w:sz w:val="20"/>
          <w:szCs w:val="20"/>
          <w:rtl w:val="false"/>
        </w:rPr>
        <w:t xml:space="preserve">La France juive: Essai d'histoire contemporaine</w:t>
      </w:r>
      <w:r>
        <w:rPr>
          <w:rFonts w:ascii="David" w:cs="David" w:eastAsia="David" w:hAnsi="David"/>
          <w:sz w:val="20"/>
          <w:szCs w:val="20"/>
          <w:rtl w:val="false"/>
        </w:rPr>
        <w:t xml:space="preserve">, 2 vols. (Paris: Marpon &amp; Flammarion, 1886).</w:t>
      </w:r>
    </w:p>
  </w:footnote>
  <w:footnote w:id="1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2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Jean-Denis Bredin, </w:t>
      </w:r>
      <w:r>
        <w:rPr>
          <w:rFonts w:ascii="David" w:cs="David" w:eastAsia="David" w:hAnsi="David"/>
          <w:i/>
          <w:iCs/>
          <w:sz w:val="20"/>
          <w:szCs w:val="20"/>
          <w:rtl w:val="false"/>
        </w:rPr>
        <w:t xml:space="preserve">The Affair: The Case of Alfred Dreyfus</w:t>
      </w:r>
      <w:r>
        <w:rPr>
          <w:rFonts w:ascii="David" w:cs="David" w:eastAsia="David" w:hAnsi="David"/>
          <w:sz w:val="20"/>
          <w:szCs w:val="20"/>
          <w:rtl w:val="false"/>
        </w:rPr>
        <w:t xml:space="preserve">, trans. Jeffrey Mehlman (New York: George Braziller, 1986), pp. 17–29; Michael Burns, </w:t>
      </w:r>
      <w:r>
        <w:rPr>
          <w:rFonts w:ascii="David" w:cs="David" w:eastAsia="David" w:hAnsi="David"/>
          <w:i/>
          <w:iCs/>
          <w:sz w:val="20"/>
          <w:szCs w:val="20"/>
          <w:rtl w:val="false"/>
        </w:rPr>
        <w:t xml:space="preserve">Dreyfus: A Family Affair, 1789–1945</w:t>
      </w:r>
      <w:r>
        <w:rPr>
          <w:rFonts w:ascii="David" w:cs="David" w:eastAsia="David" w:hAnsi="David"/>
          <w:sz w:val="20"/>
          <w:szCs w:val="20"/>
          <w:rtl w:val="false"/>
        </w:rPr>
        <w:t xml:space="preserve"> (New York: HarperCollins, 1991), pp. 45–90.</w:t>
      </w:r>
    </w:p>
  </w:footnote>
  <w:footnote w:id="2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59–95;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99–102.</w:t>
      </w:r>
    </w:p>
  </w:footnote>
  <w:footnote w:id="2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65–80;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11–19.</w:t>
      </w:r>
    </w:p>
  </w:footnote>
  <w:footnote w:id="2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96–128; Ruth Harris, </w:t>
      </w:r>
      <w:r>
        <w:rPr>
          <w:rFonts w:ascii="David" w:cs="David" w:eastAsia="David" w:hAnsi="David"/>
          <w:i/>
          <w:iCs/>
          <w:sz w:val="20"/>
          <w:szCs w:val="20"/>
          <w:rtl w:val="false"/>
        </w:rPr>
        <w:t xml:space="preserve">Dreyfus: Politics, Emotion, and the Scandal of the Century</w:t>
      </w:r>
      <w:r>
        <w:rPr>
          <w:rFonts w:ascii="David" w:cs="David" w:eastAsia="David" w:hAnsi="David"/>
          <w:sz w:val="20"/>
          <w:szCs w:val="20"/>
          <w:rtl w:val="false"/>
        </w:rPr>
        <w:t xml:space="preserve"> (New York: Metropolitan Books, 2010), pp. 20–43.</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Bernard Lazare, </w:t>
      </w:r>
      <w:r>
        <w:rPr>
          <w:rFonts w:ascii="David" w:cs="David" w:eastAsia="David" w:hAnsi="David"/>
          <w:i/>
          <w:iCs/>
          <w:sz w:val="20"/>
          <w:szCs w:val="20"/>
          <w:rtl w:val="false"/>
        </w:rPr>
        <w:t xml:space="preserve">Une erreur judiciaire: La vérité sur l'affaire Dreyfus</w:t>
      </w:r>
      <w:r>
        <w:rPr>
          <w:rFonts w:ascii="David" w:cs="David" w:eastAsia="David" w:hAnsi="David"/>
          <w:sz w:val="20"/>
          <w:szCs w:val="20"/>
          <w:rtl/>
        </w:rPr>
        <w:t xml:space="preserve"> (Brussels: Veuve Monnom, 1896). על לאזאר ראו: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104–106.</w:t>
      </w:r>
    </w:p>
  </w:footnote>
  <w:footnote w:id="2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129–247;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25–48.</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 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128–170.</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379–485;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288–363.</w:t>
      </w:r>
    </w:p>
  </w:footnote>
  <w:footnote w:id="2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155–185.</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106–114.</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וולקוב, </w:t>
      </w:r>
      <w:r>
        <w:rPr>
          <w:rFonts w:ascii="David" w:cs="David" w:eastAsia="David" w:hAnsi="David"/>
          <w:b/>
          <w:bCs/>
          <w:i w:val="false"/>
          <w:iCs w:val="false"/>
          <w:sz w:val="20"/>
          <w:szCs w:val="20"/>
          <w:rtl/>
        </w:rPr>
        <w:t xml:space="preserve">במעגל המכושף</w:t>
      </w:r>
      <w:r>
        <w:rPr>
          <w:rFonts w:ascii="David" w:cs="David" w:eastAsia="David" w:hAnsi="David"/>
          <w:sz w:val="20"/>
          <w:szCs w:val="20"/>
          <w:rtl/>
        </w:rPr>
        <w:t xml:space="preserve">, עמ' 71–98; 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69–96.</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217–222;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94–103.</w:t>
      </w:r>
    </w:p>
  </w:footnote>
  <w:footnote w:id="3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Émile Zola, "J'accuse...! Lettre au Président de la République," </w:t>
      </w:r>
      <w:r>
        <w:rPr>
          <w:rFonts w:ascii="David" w:cs="David" w:eastAsia="David" w:hAnsi="David"/>
          <w:i/>
          <w:iCs/>
          <w:sz w:val="20"/>
          <w:szCs w:val="20"/>
          <w:rtl w:val="false"/>
        </w:rPr>
        <w:t xml:space="preserve">L'Aurore</w:t>
      </w:r>
      <w:r>
        <w:rPr>
          <w:rFonts w:ascii="David" w:cs="David" w:eastAsia="David" w:hAnsi="David"/>
          <w:sz w:val="20"/>
          <w:szCs w:val="20"/>
          <w:rtl/>
        </w:rPr>
        <w:t xml:space="preserve">, 13 January 1898. הטקסט זמין במהדורה אלקטרונית: Émile Zola, </w:t>
      </w:r>
      <w:r>
        <w:rPr>
          <w:rFonts w:ascii="David" w:cs="David" w:eastAsia="David" w:hAnsi="David"/>
          <w:i/>
          <w:iCs/>
          <w:sz w:val="20"/>
          <w:szCs w:val="20"/>
          <w:rtl w:val="false"/>
        </w:rPr>
        <w:t xml:space="preserve">J'accuse...!</w:t>
      </w:r>
      <w:r>
        <w:rPr>
          <w:rFonts w:ascii="David" w:cs="David" w:eastAsia="David" w:hAnsi="David"/>
          <w:sz w:val="20"/>
          <w:szCs w:val="20"/>
          <w:rtl w:val="false"/>
        </w:rPr>
        <w:t xml:space="preserve"> (Project Gutenberg, 2025), ebook no. 76045.</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104–120; 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49–68.</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253–284;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121–160.</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Birnbaum, </w:t>
      </w:r>
      <w:r>
        <w:rPr>
          <w:rFonts w:ascii="David" w:cs="David" w:eastAsia="David" w:hAnsi="David"/>
          <w:i/>
          <w:iCs/>
          <w:sz w:val="20"/>
          <w:szCs w:val="20"/>
          <w:rtl w:val="false"/>
        </w:rPr>
        <w:t xml:space="preserve">The Anti-Semitic Moment</w:t>
      </w:r>
      <w:r>
        <w:rPr>
          <w:rFonts w:ascii="David" w:cs="David" w:eastAsia="David" w:hAnsi="David"/>
          <w:sz w:val="20"/>
          <w:szCs w:val="20"/>
          <w:rtl w:val="false"/>
        </w:rPr>
        <w:t xml:space="preserve">, pp. 23–80.</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161–189.</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364–380;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486–493.</w:t>
      </w:r>
    </w:p>
  </w:footnote>
  <w:footnote w:id="3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גדעון קוץ, "ראשיתה של פרשת דרייפוס בעיתונות העברית והיהודית באירופה",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w:t>
      </w:r>
    </w:p>
  </w:footnote>
  <w:footnote w:id="4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4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1–41;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w:t>
      </w:r>
    </w:p>
  </w:footnote>
  <w:footnote w:id="4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34–41;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42–58.</w:t>
      </w:r>
    </w:p>
  </w:footnote>
  <w:footnote w:id="4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41–54;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 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150–153.</w:t>
      </w:r>
    </w:p>
  </w:footnote>
  <w:footnote w:id="4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w:t>
      </w:r>
    </w:p>
  </w:footnote>
  <w:footnote w:id="4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31–48.</w:t>
      </w:r>
    </w:p>
  </w:footnote>
  <w:footnote w:id="4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40–48;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100–113.</w:t>
      </w:r>
    </w:p>
  </w:footnote>
  <w:footnote w:id="4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115–133;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57–70. הרצל תיאר את שני הרעיונות בדיעבד ביומנו: בנימין זאב הרצל, </w:t>
      </w:r>
      <w:r>
        <w:rPr>
          <w:rFonts w:ascii="David" w:cs="David" w:eastAsia="David" w:hAnsi="David"/>
          <w:b/>
          <w:bCs/>
          <w:i w:val="false"/>
          <w:iCs w:val="false"/>
          <w:sz w:val="20"/>
          <w:szCs w:val="20"/>
          <w:rtl/>
        </w:rPr>
        <w:t xml:space="preserve">עניין היהודים: ספרי יומן 1895–1904</w:t>
      </w:r>
      <w:r>
        <w:rPr>
          <w:rFonts w:ascii="David" w:cs="David" w:eastAsia="David" w:hAnsi="David"/>
          <w:sz w:val="20"/>
          <w:szCs w:val="20"/>
          <w:rtl/>
        </w:rPr>
        <w:t xml:space="preserve">, תרגם יוסף ונקרט, כרך א (ירושלים: מוסד ביאליק, 1997), רשימות מיוני 1895.</w:t>
      </w:r>
    </w:p>
  </w:footnote>
  <w:footnote w:id="4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71–83;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189–202.</w:t>
      </w:r>
    </w:p>
  </w:footnote>
  <w:footnote w:id="4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183–194;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84–92. הדיווחים עצמם פורסמו ב"נויה פרייה פרסה" ב-23 בדצמבר 1894 וב-6 בינואר 1895.</w:t>
      </w:r>
    </w:p>
  </w:footnote>
  <w:footnote w:id="5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הפתיחה מיוני 1895; Theodor Herzl, </w:t>
      </w:r>
      <w:r>
        <w:rPr>
          <w:rFonts w:ascii="David" w:cs="David" w:eastAsia="David" w:hAnsi="David"/>
          <w:i/>
          <w:iCs/>
          <w:sz w:val="20"/>
          <w:szCs w:val="20"/>
          <w:rtl w:val="false"/>
        </w:rPr>
        <w:t xml:space="preserve">The Complete Diaries of Theodor Herzl</w:t>
      </w:r>
      <w:r>
        <w:rPr>
          <w:rFonts w:ascii="David" w:cs="David" w:eastAsia="David" w:hAnsi="David"/>
          <w:sz w:val="20"/>
          <w:szCs w:val="20"/>
          <w:rtl/>
        </w:rPr>
        <w:t xml:space="preserve">, ed. Raphael Patai, trans. Harry Zohn, vol. 1 (New York: Herzl Press and Thomas Yoseloff, 1960), pp. 3–12. על העדרו של דרייפוס מן היומן ראו: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93–99.</w:t>
      </w:r>
    </w:p>
  </w:footnote>
  <w:footnote w:id="5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100–108; Shlomo Avineri, "Theodor Herzl's Diaries as a Bildungsroman," </w:t>
      </w:r>
      <w:r>
        <w:rPr>
          <w:rFonts w:ascii="David" w:cs="David" w:eastAsia="David" w:hAnsi="David"/>
          <w:i/>
          <w:iCs/>
          <w:sz w:val="20"/>
          <w:szCs w:val="20"/>
          <w:rtl w:val="false"/>
        </w:rPr>
        <w:t xml:space="preserve">Jewish Social Studies</w:t>
      </w:r>
      <w:r>
        <w:rPr>
          <w:rFonts w:ascii="David" w:cs="David" w:eastAsia="David" w:hAnsi="David"/>
          <w:sz w:val="20"/>
          <w:szCs w:val="20"/>
          <w:rtl w:val="false"/>
        </w:rPr>
        <w:t xml:space="preserve"> 5:3 (1999), pp. 1–46.</w:t>
      </w:r>
    </w:p>
  </w:footnote>
  <w:footnote w:id="5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159–182;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 22.</w:t>
      </w:r>
    </w:p>
  </w:footnote>
  <w:footnote w:id="5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מ-2 ביוני 1895 ואילך;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13–130; 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218–240.</w:t>
      </w:r>
    </w:p>
  </w:footnote>
  <w:footnote w:id="5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Theodor Herzl, </w:t>
      </w:r>
      <w:r>
        <w:rPr>
          <w:rFonts w:ascii="David" w:cs="David" w:eastAsia="David" w:hAnsi="David"/>
          <w:i/>
          <w:iCs/>
          <w:sz w:val="20"/>
          <w:szCs w:val="20"/>
          <w:rtl/>
        </w:rPr>
        <w:t xml:space="preserve">The Jewish State</w:t>
      </w:r>
      <w:r>
        <w:rPr>
          <w:rFonts w:ascii="David" w:cs="David" w:eastAsia="David" w:hAnsi="David"/>
          <w:sz w:val="20"/>
          <w:szCs w:val="20"/>
          <w:rtl/>
        </w:rPr>
        <w:t xml:space="preserve"> (New York: Dover, 1988), pp. 75–100; אבינרי, </w:t>
      </w:r>
      <w:r>
        <w:rPr>
          <w:rFonts w:ascii="David" w:cs="David" w:eastAsia="David" w:hAnsi="David"/>
          <w:b/>
          <w:bCs/>
          <w:i w:val="false"/>
          <w:iCs w:val="false"/>
          <w:sz w:val="20"/>
          <w:szCs w:val="20"/>
          <w:rtl/>
        </w:rPr>
        <w:t xml:space="preserve">הרעיון הציוני לגווניו: פרקים בתולדות המחשבה המדינית היהודית</w:t>
      </w:r>
      <w:r>
        <w:rPr>
          <w:rFonts w:ascii="David" w:cs="David" w:eastAsia="David" w:hAnsi="David"/>
          <w:sz w:val="20"/>
          <w:szCs w:val="20"/>
          <w:rtl/>
        </w:rPr>
        <w:t xml:space="preserve"> (תל אביב: עם עובד, 1980), עמ' 107–124.</w:t>
      </w:r>
    </w:p>
  </w:footnote>
  <w:footnote w:id="5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ויטל, </w:t>
      </w:r>
      <w:r>
        <w:rPr>
          <w:rFonts w:ascii="David" w:cs="David" w:eastAsia="David" w:hAnsi="David"/>
          <w:b/>
          <w:bCs/>
          <w:i w:val="false"/>
          <w:iCs w:val="false"/>
          <w:sz w:val="20"/>
          <w:szCs w:val="20"/>
          <w:rtl/>
        </w:rPr>
        <w:t xml:space="preserve">המהפכה הציונית: ראשית התנועה</w:t>
      </w:r>
      <w:r>
        <w:rPr>
          <w:rFonts w:ascii="David" w:cs="David" w:eastAsia="David" w:hAnsi="David"/>
          <w:sz w:val="20"/>
          <w:szCs w:val="20"/>
          <w:rtl/>
        </w:rPr>
        <w:t xml:space="preserve"> (תל אביב: עם עובד, 1978), עמ' 217–262.</w:t>
      </w:r>
    </w:p>
  </w:footnote>
  <w:footnote w:id="5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The Jewish State</w:t>
      </w:r>
      <w:r>
        <w:rPr>
          <w:rFonts w:ascii="David" w:cs="David" w:eastAsia="David" w:hAnsi="David"/>
          <w:sz w:val="20"/>
          <w:szCs w:val="20"/>
          <w:rtl w:val="false"/>
        </w:rPr>
        <w:t xml:space="preserve">, pp. 80–83;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170–182;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178–186.</w:t>
      </w:r>
    </w:p>
  </w:footnote>
  <w:footnote w:id="5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104–106;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253–260.</w:t>
      </w:r>
    </w:p>
  </w:footnote>
  <w:footnote w:id="5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Herzl, "Zionism," pp. 1–8;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86–90.</w:t>
      </w:r>
    </w:p>
  </w:footnote>
  <w:footnote w:id="5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95–124.</w:t>
      </w:r>
    </w:p>
  </w:footnote>
  <w:footnote w:id="6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Desmond Stewart, </w:t>
      </w:r>
      <w:r>
        <w:rPr>
          <w:rFonts w:ascii="David" w:cs="David" w:eastAsia="David" w:hAnsi="David"/>
          <w:i/>
          <w:iCs/>
          <w:sz w:val="20"/>
          <w:szCs w:val="20"/>
          <w:rtl w:val="false"/>
        </w:rPr>
        <w:t xml:space="preserve">Theodor Herzl: Artist and Politician</w:t>
      </w:r>
      <w:r>
        <w:rPr>
          <w:rFonts w:ascii="David" w:cs="David" w:eastAsia="David" w:hAnsi="David"/>
          <w:sz w:val="20"/>
          <w:szCs w:val="20"/>
          <w:rtl w:val="false"/>
        </w:rPr>
        <w:t xml:space="preserve"> (London: Hamish Hamilton, 1974), pp. 155–182.</w:t>
      </w:r>
    </w:p>
  </w:footnote>
  <w:footnote w:id="6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20–45.</w:t>
      </w:r>
    </w:p>
  </w:footnote>
  <w:footnote w:id="6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"A Reevaluation,"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w:t>
      </w:r>
    </w:p>
  </w:footnote>
  <w:footnote w:id="6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Avineri, "Herzl's Diaries as a Bildungsroman," pp. 1–46.</w:t>
      </w:r>
    </w:p>
  </w:footnote>
  <w:footnote w:id="6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146–175; Robert S. Wistrich, "Theodor Herzl: Zionist Icon, Myth-Maker, and Social Utopian," </w:t>
      </w:r>
      <w:r>
        <w:rPr>
          <w:rFonts w:ascii="David" w:cs="David" w:eastAsia="David" w:hAnsi="David"/>
          <w:i/>
          <w:iCs/>
          <w:sz w:val="20"/>
          <w:szCs w:val="20"/>
          <w:rtl w:val="false"/>
        </w:rPr>
        <w:t xml:space="preserve">Israel Affairs</w:t>
      </w:r>
      <w:r>
        <w:rPr>
          <w:rFonts w:ascii="David" w:cs="David" w:eastAsia="David" w:hAnsi="David"/>
          <w:sz w:val="20"/>
          <w:szCs w:val="20"/>
          <w:rtl w:val="false"/>
        </w:rPr>
        <w:t xml:space="preserve"> 1:3 (1995), pp. 1–37.</w:t>
      </w:r>
    </w:p>
  </w:footnote>
  <w:footnote w:id="6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49–70.</w:t>
      </w:r>
    </w:p>
  </w:footnote>
  <w:footnote w:id="6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Penslar, </w:t>
      </w:r>
      <w:r>
        <w:rPr>
          <w:rFonts w:ascii="David" w:cs="David" w:eastAsia="David" w:hAnsi="David"/>
          <w:i/>
          <w:iCs/>
          <w:sz w:val="20"/>
          <w:szCs w:val="20"/>
          <w:rtl/>
        </w:rPr>
        <w:t xml:space="preserve">Theodor Herzl</w:t>
      </w:r>
      <w:r>
        <w:rPr>
          <w:rFonts w:ascii="David" w:cs="David" w:eastAsia="David" w:hAnsi="David"/>
          <w:sz w:val="20"/>
          <w:szCs w:val="20"/>
          <w:rtl/>
        </w:rPr>
        <w:t xml:space="preserve">, pp. 60–70; השל, "לקראת היסטוריוגרפיה ארוטית", עמ' 5–30.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2026-09-19T09:00:51.190Z</dcterms:created>
  <dcterms:modified xsi:type="dcterms:W3CDTF">2026-09-19T09:00:51.191Z</dcterms:modified>
</cp:coreProperties>
</file>

<file path=docProps/custom.xml><?xml version="1.0" encoding="utf-8"?>
<Properties xmlns="http://schemas.openxmlformats.org/officeDocument/2006/custom-properties" xmlns:vt="http://schemas.openxmlformats.org/officeDocument/2006/docPropsVTypes"/>
</file>