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400"/>
        <w:jc w:val="center"/>
      </w:pPr>
      <w:r>
        <w:drawing>
          <wp:inline distT="0" distB="0" distL="0" distR="0">
            <wp:extent cx="2076450"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76450" cy="1019175"/>
                    </a:xfrm>
                    <a:prstGeom prst="rect">
                      <a:avLst/>
                    </a:prstGeom>
                  </pic:spPr>
                </pic:pic>
              </a:graphicData>
            </a:graphic>
          </wp:inline>
        </w:drawing>
      </w:r>
    </w:p>
    <w:p>
      <w:pPr>
        <w:bidi/>
        <w:spacing w:after="0" w:before="0" w:line="360" w:lineRule="auto"/>
        <w:jc w:val="center"/>
      </w:pPr>
      <w:r>
        <w:rPr>
          <w:rFonts w:ascii="Times New Roman" w:cs="David" w:hAnsi="Times New Roman"/>
          <w:b/>
          <w:bCs/>
          <w:sz w:val="32"/>
          <w:szCs w:val="32"/>
          <w:rtl/>
        </w:rPr>
        <w:t xml:space="preserve">הקריה האקדמית אונו</w:t>
      </w:r>
    </w:p>
    <w:p>
      <w:pPr>
        <w:bidi/>
        <w:spacing w:after="0" w:before="0" w:line="360" w:lineRule="auto"/>
        <w:jc w:val="center"/>
      </w:pPr>
      <w:r>
        <w:rPr>
          <w:rFonts w:ascii="Times New Roman" w:cs="David" w:hAnsi="Times New Roman"/>
          <w:b/>
          <w:bCs/>
          <w:sz w:val="32"/>
          <w:szCs w:val="32"/>
          <w:rtl/>
        </w:rPr>
        <w:t xml:space="preserve">החוג לחינוך</w:t>
      </w:r>
    </w:p>
    <w:p>
      <w:pPr>
        <w:bidi/>
        <w:spacing w:after="0" w:before="0" w:line="360" w:lineRule="auto"/>
        <w:jc w:val="center"/>
      </w:pPr>
      <w:r>
        <w:rPr>
          <w:rFonts w:ascii="Times New Roman" w:cs="David" w:hAnsi="Times New Roman"/>
          <w:b/>
          <w:bCs/>
          <w:sz w:val="40"/>
          <w:szCs w:val="40"/>
          <w:rtl/>
        </w:rPr>
        <w:t xml:space="preserve">ילד, משפחה וקהילה</w:t>
      </w:r>
    </w:p>
    <w:p>
      <w:pPr>
        <w:bidi/>
        <w:spacing w:after="0" w:before="0" w:line="360" w:lineRule="auto"/>
        <w:jc w:val="both"/>
      </w:pPr>
      <w:r>
        <w:rPr>
          <w:rFonts w:ascii="Times New Roman" w:cs="David" w:hAnsi="Times New Roman"/>
          <w:sz w:val="24"/>
          <w:szCs w:val="24"/>
          <w:rtl/>
        </w:rPr>
        <w:t xml:space="preserve"> </w:t>
      </w:r>
    </w:p>
    <w:p>
      <w:pPr>
        <w:bidi/>
        <w:spacing w:after="0" w:before="0" w:line="360" w:lineRule="auto"/>
        <w:jc w:val="center"/>
      </w:pPr>
      <w:r>
        <w:rPr>
          <w:rFonts w:ascii="Times New Roman" w:cs="David" w:hAnsi="Times New Roman"/>
          <w:b/>
          <w:bCs/>
          <w:sz w:val="36"/>
          <w:szCs w:val="36"/>
          <w:rtl/>
        </w:rPr>
        <w:t xml:space="preserve">עבודה מסכמת</w:t>
      </w:r>
    </w:p>
    <w:p>
      <w:pPr>
        <w:bidi/>
        <w:spacing w:after="0" w:before="0" w:line="360" w:lineRule="auto"/>
        <w:jc w:val="both"/>
      </w:pPr>
      <w:r>
        <w:rPr>
          <w:rFonts w:ascii="Times New Roman" w:cs="David" w:hAnsi="Times New Roman"/>
          <w:sz w:val="24"/>
          <w:szCs w:val="24"/>
          <w:rtl/>
        </w:rPr>
        <w:t xml:space="preserve"> </w:t>
      </w:r>
    </w:p>
    <w:p>
      <w:pPr>
        <w:bidi/>
        <w:spacing w:after="0" w:before="0" w:line="360" w:lineRule="auto"/>
        <w:jc w:val="both"/>
      </w:pPr>
      <w:r>
        <w:rPr>
          <w:rFonts w:ascii="Times New Roman" w:cs="David" w:hAnsi="Times New Roman"/>
          <w:sz w:val="24"/>
          <w:szCs w:val="24"/>
          <w:rtl/>
        </w:rPr>
        <w:t xml:space="preserve"> </w:t>
      </w:r>
    </w:p>
    <w:p>
      <w:pPr>
        <w:bidi/>
        <w:spacing w:after="0" w:before="0" w:line="360" w:lineRule="auto"/>
        <w:jc w:val="center"/>
      </w:pPr>
      <w:r>
        <w:rPr>
          <w:rFonts w:ascii="Times New Roman" w:cs="David" w:hAnsi="Times New Roman"/>
          <w:sz w:val="28"/>
          <w:szCs w:val="28"/>
          <w:rtl/>
        </w:rPr>
        <w:t xml:space="preserve">מרצה: ח'אולה סעיד</w:t>
      </w:r>
    </w:p>
    <w:p>
      <w:pPr>
        <w:bidi/>
        <w:spacing w:after="0" w:before="0" w:line="360" w:lineRule="auto"/>
        <w:jc w:val="both"/>
      </w:pPr>
      <w:r>
        <w:rPr>
          <w:rFonts w:ascii="Times New Roman" w:cs="David" w:hAnsi="Times New Roman"/>
          <w:sz w:val="24"/>
          <w:szCs w:val="24"/>
          <w:rtl/>
        </w:rPr>
        <w:t xml:space="preserve"> </w:t>
      </w:r>
    </w:p>
    <w:p>
      <w:pPr>
        <w:bidi/>
        <w:spacing w:after="0" w:before="0" w:line="360" w:lineRule="auto"/>
        <w:jc w:val="center"/>
      </w:pPr>
      <w:r>
        <w:rPr>
          <w:rFonts w:ascii="Times New Roman" w:cs="David" w:hAnsi="Times New Roman"/>
          <w:b/>
          <w:bCs/>
          <w:sz w:val="28"/>
          <w:szCs w:val="28"/>
          <w:rtl/>
        </w:rPr>
        <w:t xml:space="preserve">מגישים:</w:t>
      </w:r>
    </w:p>
    <w:p>
      <w:pPr>
        <w:bidi/>
        <w:spacing w:after="0" w:before="0" w:line="360" w:lineRule="auto"/>
        <w:jc w:val="center"/>
      </w:pPr>
      <w:r>
        <w:rPr>
          <w:rFonts w:ascii="Times New Roman" w:cs="David" w:hAnsi="Times New Roman"/>
          <w:sz w:val="28"/>
          <w:szCs w:val="28"/>
          <w:rtl/>
        </w:rPr>
        <w:t xml:space="preserve">רביע אלטורי, ת.ז. 209529783</w:t>
      </w:r>
    </w:p>
    <w:p>
      <w:pPr>
        <w:bidi/>
        <w:spacing w:after="0" w:before="0" w:line="360" w:lineRule="auto"/>
        <w:jc w:val="center"/>
      </w:pPr>
      <w:r>
        <w:rPr>
          <w:rFonts w:ascii="Times New Roman" w:cs="David" w:hAnsi="Times New Roman"/>
          <w:sz w:val="28"/>
          <w:szCs w:val="28"/>
          <w:rtl/>
        </w:rPr>
        <w:t xml:space="preserve">רדואן אלטורי, ת.ז. 300632767</w:t>
      </w:r>
    </w:p>
    <w:p>
      <w:pPr>
        <w:bidi/>
        <w:spacing w:after="0" w:before="0" w:line="360" w:lineRule="auto"/>
        <w:jc w:val="both"/>
      </w:pPr>
      <w:r>
        <w:rPr>
          <w:rFonts w:ascii="Times New Roman" w:cs="David" w:hAnsi="Times New Roman"/>
          <w:sz w:val="24"/>
          <w:szCs w:val="24"/>
          <w:rtl/>
        </w:rPr>
        <w:t xml:space="preserve"> </w:t>
      </w:r>
    </w:p>
    <w:p>
      <w:pPr>
        <w:bidi/>
        <w:spacing w:after="0" w:before="0" w:line="360" w:lineRule="auto"/>
        <w:jc w:val="center"/>
      </w:pPr>
      <w:r>
        <w:rPr>
          <w:rFonts w:ascii="Times New Roman" w:cs="David" w:hAnsi="Times New Roman"/>
          <w:sz w:val="28"/>
          <w:szCs w:val="28"/>
          <w:rtl/>
        </w:rPr>
        <w:t xml:space="preserve">ט"ז באב תשפ"ו, 30 ביולי 2026</w:t>
      </w:r>
    </w:p>
    <w:p>
      <w:r>
        <w:br w:type="page"/>
      </w:r>
    </w:p>
    <w:p>
      <w:pPr>
        <w:bidi/>
        <w:spacing w:after="240" w:before="0" w:line="360" w:lineRule="auto"/>
        <w:jc w:val="center"/>
      </w:pPr>
      <w:r>
        <w:rPr>
          <w:rFonts w:ascii="Times New Roman" w:cs="David" w:hAnsi="Times New Roman"/>
          <w:b/>
          <w:bCs/>
          <w:sz w:val="28"/>
          <w:szCs w:val="28"/>
          <w:u w:val="single"/>
          <w:rtl/>
        </w:rPr>
        <w:t xml:space="preserve">תוכן עניינים</w:t>
      </w:r>
    </w:p>
    <w:p>
      <w:pPr>
        <w:tabs>
          <w:tab w:val="left" w:pos="8500" w:leader="dot"/>
        </w:tabs>
        <w:bidi/>
        <w:spacing w:line="360" w:lineRule="auto"/>
      </w:pPr>
      <w:r>
        <w:rPr>
          <w:rFonts w:ascii="Times New Roman" w:cs="David" w:hAnsi="Times New Roman"/>
          <w:sz w:val="24"/>
          <w:szCs w:val="24"/>
          <w:rtl/>
        </w:rPr>
        <w:t xml:space="preserve">שאלה 1: המשפחה</w:t>
      </w:r>
      <w:r>
        <w:rPr>
          <w:rFonts w:ascii="Times New Roman" w:cs="David" w:hAnsi="Times New Roman"/>
          <w:sz w:val="24"/>
          <w:szCs w:val="24"/>
        </w:rPr>
        <w:tab/>
      </w:r>
      <w:r>
        <w:rPr>
          <w:rFonts w:ascii="Times New Roman" w:cs="David" w:hAnsi="Times New Roman"/>
          <w:sz w:val="24"/>
          <w:szCs w:val="24"/>
          <w:rtl/>
        </w:rPr>
        <w:t xml:space="preserve">3</w:t>
      </w:r>
    </w:p>
    <w:p>
      <w:pPr>
        <w:tabs>
          <w:tab w:val="left" w:pos="8500" w:leader="dot"/>
        </w:tabs>
        <w:bidi/>
        <w:spacing w:line="360" w:lineRule="auto"/>
      </w:pPr>
      <w:r>
        <w:rPr>
          <w:rFonts w:ascii="Times New Roman" w:cs="David" w:hAnsi="Times New Roman"/>
          <w:sz w:val="24"/>
          <w:szCs w:val="24"/>
          <w:rtl/>
        </w:rPr>
        <w:t xml:space="preserve">שאלה 2: צמתי הכרעה בתהליך החיברות</w:t>
      </w:r>
      <w:r>
        <w:rPr>
          <w:rFonts w:ascii="Times New Roman" w:cs="David" w:hAnsi="Times New Roman"/>
          <w:sz w:val="24"/>
          <w:szCs w:val="24"/>
        </w:rPr>
        <w:tab/>
      </w:r>
      <w:r>
        <w:rPr>
          <w:rFonts w:ascii="Times New Roman" w:cs="David" w:hAnsi="Times New Roman"/>
          <w:sz w:val="24"/>
          <w:szCs w:val="24"/>
          <w:rtl/>
        </w:rPr>
        <w:t xml:space="preserve">4</w:t>
      </w:r>
    </w:p>
    <w:p>
      <w:pPr>
        <w:tabs>
          <w:tab w:val="left" w:pos="8500" w:leader="dot"/>
        </w:tabs>
        <w:bidi/>
        <w:spacing w:line="360" w:lineRule="auto"/>
      </w:pPr>
      <w:r>
        <w:rPr>
          <w:rFonts w:ascii="Times New Roman" w:cs="David" w:hAnsi="Times New Roman"/>
          <w:sz w:val="24"/>
          <w:szCs w:val="24"/>
          <w:rtl/>
        </w:rPr>
        <w:t xml:space="preserve">שאלה 3: תאמר והמודל האקולוגי</w:t>
      </w:r>
      <w:r>
        <w:rPr>
          <w:rFonts w:ascii="Times New Roman" w:cs="David" w:hAnsi="Times New Roman"/>
          <w:sz w:val="24"/>
          <w:szCs w:val="24"/>
        </w:rPr>
        <w:tab/>
      </w:r>
      <w:r>
        <w:rPr>
          <w:rFonts w:ascii="Times New Roman" w:cs="David" w:hAnsi="Times New Roman"/>
          <w:sz w:val="24"/>
          <w:szCs w:val="24"/>
          <w:rtl/>
        </w:rPr>
        <w:t xml:space="preserve">5</w:t>
      </w:r>
    </w:p>
    <w:p>
      <w:pPr>
        <w:tabs>
          <w:tab w:val="left" w:pos="8500" w:leader="dot"/>
        </w:tabs>
        <w:bidi/>
        <w:spacing w:line="360" w:lineRule="auto"/>
      </w:pPr>
      <w:r>
        <w:rPr>
          <w:rFonts w:ascii="Times New Roman" w:cs="David" w:hAnsi="Times New Roman"/>
          <w:sz w:val="24"/>
          <w:szCs w:val="24"/>
          <w:rtl/>
        </w:rPr>
        <w:t xml:space="preserve">שאלה 4: משפחות במשבר וגורמי סיכון</w:t>
      </w:r>
      <w:r>
        <w:rPr>
          <w:rFonts w:ascii="Times New Roman" w:cs="David" w:hAnsi="Times New Roman"/>
          <w:sz w:val="24"/>
          <w:szCs w:val="24"/>
        </w:rPr>
        <w:tab/>
      </w:r>
      <w:r>
        <w:rPr>
          <w:rFonts w:ascii="Times New Roman" w:cs="David" w:hAnsi="Times New Roman"/>
          <w:sz w:val="24"/>
          <w:szCs w:val="24"/>
          <w:rtl/>
        </w:rPr>
        <w:t xml:space="preserve">6</w:t>
      </w:r>
    </w:p>
    <w:p>
      <w:pPr>
        <w:tabs>
          <w:tab w:val="left" w:pos="8500" w:leader="dot"/>
        </w:tabs>
        <w:bidi/>
        <w:spacing w:line="360" w:lineRule="auto"/>
      </w:pPr>
      <w:r>
        <w:rPr>
          <w:rFonts w:ascii="Times New Roman" w:cs="David" w:hAnsi="Times New Roman"/>
          <w:sz w:val="24"/>
          <w:szCs w:val="24"/>
          <w:rtl/>
        </w:rPr>
        <w:t xml:space="preserve">שאלה 5: סיכום ואמירה אישית</w:t>
      </w:r>
      <w:r>
        <w:rPr>
          <w:rFonts w:ascii="Times New Roman" w:cs="David" w:hAnsi="Times New Roman"/>
          <w:sz w:val="24"/>
          <w:szCs w:val="24"/>
        </w:rPr>
        <w:tab/>
      </w:r>
      <w:r>
        <w:rPr>
          <w:rFonts w:ascii="Times New Roman" w:cs="David" w:hAnsi="Times New Roman"/>
          <w:sz w:val="24"/>
          <w:szCs w:val="24"/>
          <w:rtl/>
        </w:rPr>
        <w:t xml:space="preserve">7</w:t>
      </w:r>
    </w:p>
    <w:p>
      <w:pPr>
        <w:tabs>
          <w:tab w:val="left" w:pos="8500" w:leader="dot"/>
        </w:tabs>
        <w:bidi/>
        <w:spacing w:line="360" w:lineRule="auto"/>
      </w:pPr>
      <w:r>
        <w:rPr>
          <w:rFonts w:ascii="Times New Roman" w:cs="David" w:hAnsi="Times New Roman"/>
          <w:sz w:val="24"/>
          <w:szCs w:val="24"/>
          <w:rtl/>
        </w:rPr>
        <w:t xml:space="preserve">רשימת מקורות</w:t>
      </w:r>
      <w:r>
        <w:rPr>
          <w:rFonts w:ascii="Times New Roman" w:cs="David" w:hAnsi="Times New Roman"/>
          <w:sz w:val="24"/>
          <w:szCs w:val="24"/>
        </w:rPr>
        <w:tab/>
      </w:r>
      <w:r>
        <w:rPr>
          <w:rFonts w:ascii="Times New Roman" w:cs="David" w:hAnsi="Times New Roman"/>
          <w:sz w:val="24"/>
          <w:szCs w:val="24"/>
          <w:rtl/>
        </w:rPr>
        <w:t xml:space="preserve">8</w:t>
      </w:r>
    </w:p>
    <w:p>
      <w:r>
        <w:br w:type="page"/>
      </w:r>
    </w:p>
    <w:p>
      <w:pPr>
        <w:keepNext/>
        <w:bidi/>
        <w:spacing w:after="120" w:before="240" w:line="360" w:lineRule="auto"/>
        <w:jc w:val="both"/>
      </w:pPr>
      <w:r>
        <w:rPr>
          <w:rFonts w:ascii="Times New Roman" w:cs="David" w:hAnsi="Times New Roman"/>
          <w:b/>
          <w:bCs/>
          <w:sz w:val="24"/>
          <w:szCs w:val="24"/>
          <w:u w:val="single"/>
          <w:rtl/>
        </w:rPr>
        <w:t xml:space="preserve">שאלה 1: המשפחה</w:t>
      </w:r>
    </w:p>
    <w:p>
      <w:pPr>
        <w:bidi/>
        <w:spacing w:after="0" w:before="0" w:line="360" w:lineRule="auto"/>
        <w:jc w:val="both"/>
      </w:pPr>
      <w:r>
        <w:rPr>
          <w:rFonts w:ascii="Times New Roman" w:cs="David" w:hAnsi="Times New Roman"/>
          <w:sz w:val="24"/>
          <w:szCs w:val="24"/>
          <w:rtl/>
        </w:rPr>
        <w:t xml:space="preserve">ילדות אינה עובדה ביולוגית בלבד אלא הבניה חברתית, וגבולותיה משתנים מתקופה לתקופה ומתרבות לתרבות. בעבר נתפס הילד כמבוגר קטן שהצטרף מוקדם לעבודת המשפחה, ואילו העת החדשה רואה בילדות שלב חיים נבדל, הראוי להגנה, לחינוך ולמשחק, שגבולו הפורמלי כיום הוא גיל 18. בפועל הגבול נזיל: יש ילדים שנדרשים לבגרות מוקדמת בשל מצוקה, ויש בגירים התלויים בהוריהם שנים ארוכות. את הילדות של ימינו מאפיינים שהות ממושכת במסגרות חינוך, חשיפה רחבה למדיה ותקופת תלות ארוכה מבעבר (</w:t>
      </w:r>
      <w:r>
        <w:rPr>
          <w:rFonts w:ascii="Times New Roman" w:cs="David" w:hAnsi="Times New Roman"/>
          <w:sz w:val="24"/>
          <w:szCs w:val="24"/>
        </w:rPr>
        <w:t xml:space="preserve">אגמון, 2022</w:t>
      </w:r>
      <w:r>
        <w:rPr>
          <w:rFonts w:ascii="Times New Roman" w:cs="David" w:hAnsi="Times New Roman"/>
          <w:sz w:val="24"/>
          <w:szCs w:val="24"/>
          <w:rtl/>
        </w:rPr>
        <w:t xml:space="preserve">).</w:t>
      </w:r>
    </w:p>
    <w:p>
      <w:pPr>
        <w:bidi/>
        <w:spacing w:after="0" w:before="0" w:line="360" w:lineRule="auto"/>
        <w:jc w:val="both"/>
      </w:pPr>
      <w:r>
        <w:rPr>
          <w:rFonts w:ascii="Times New Roman" w:cs="David" w:hAnsi="Times New Roman"/>
          <w:sz w:val="24"/>
          <w:szCs w:val="24"/>
          <w:rtl/>
        </w:rPr>
        <w:t xml:space="preserve">גם הגדרת המשפחה השתנתה. ההגדרה הקלאסית מדברת על יחידה של הורים וילדים הקשורים בקשרי דם, נישואין או אימוץ, אך לצדה קיימות כיום גרסאות רבות: משפחות חד-הוריות, מורחבות, מעורבות ועוד. לצד המשפחה הפורמלית יש מי שהם "כמו משפחה": חברים קרובים או שכנים הממלאים בפועל תפקידים של תמיכה ושייכות, בלי שהסביבה החברתית והחוק מכירים בהם כקרובים, שכן ההכרה שמורה לקשרי דם, נישואין ואימוץ והיא הקובעת זכויות וחובות. בתוך המשפחה מתקיים רצף בין-דורי שבו העבר, ההווה והתוכניות לעתיד משפיעים זה על זה כל העת, ולכן ניתוח פסיכולוגי של משפחה מחייב הבנת ההקשר ההיסטורי, הפסיכולוגי והפוליטי שבתוכו היא חיה. בחברה הערבית בישראל, למשל, המשפחה המורחבת והפטריארכלית עודנה מסגרת ייחוס מרכזית גם לאחר תהליכי מודרניזציה (</w:t>
      </w:r>
      <w:r>
        <w:rPr>
          <w:rFonts w:ascii="Times New Roman" w:cs="David" w:hAnsi="Times New Roman"/>
          <w:sz w:val="24"/>
          <w:szCs w:val="24"/>
        </w:rPr>
        <w:t xml:space="preserve">גנאים חסין, 2026א</w:t>
      </w:r>
      <w:r>
        <w:rPr>
          <w:rFonts w:ascii="Times New Roman" w:cs="David" w:hAnsi="Times New Roman"/>
          <w:sz w:val="24"/>
          <w:szCs w:val="24"/>
          <w:rtl/>
        </w:rPr>
        <w:t xml:space="preserve">).</w:t>
      </w:r>
    </w:p>
    <w:p>
      <w:pPr>
        <w:bidi/>
        <w:spacing w:after="0" w:before="0" w:line="360" w:lineRule="auto"/>
        <w:jc w:val="both"/>
      </w:pPr>
      <w:r>
        <w:rPr>
          <w:rFonts w:ascii="Times New Roman" w:cs="David" w:hAnsi="Times New Roman"/>
          <w:sz w:val="24"/>
          <w:szCs w:val="24"/>
          <w:rtl/>
        </w:rPr>
        <w:t xml:space="preserve">קהילה היא מעגל השייכות שמעבר למשפחה: היישוב, השכונה, מוסדות החינוך, הדת והרווחה. היא מעניקה למשפחה רשת תמיכה ושירותים, אך גם מכתיבה נורמות ומפעילה פיקוח חברתי על אופן גידול הילדים. על הקהילה עצמה פועלים מעגלים חיצוניים: מדיניות ממשלתית, כלכלה, חקיקה, מדיה ותרבות. מעגלים אלה מחלחלים פנימה ומעצבים את תנאי החיים של המשפחה ואת הילדות עצמה, כפי שמתאר המודל האקולוגי (</w:t>
      </w:r>
      <w:r>
        <w:rPr>
          <w:rFonts w:ascii="Times New Roman" w:cs="David" w:hAnsi="Times New Roman"/>
          <w:sz w:val="24"/>
          <w:szCs w:val="24"/>
        </w:rPr>
        <w:t xml:space="preserve">Bronfenbrenner, 1979</w:t>
      </w:r>
      <w:r>
        <w:rPr>
          <w:rFonts w:ascii="Times New Roman" w:cs="David" w:hAnsi="Times New Roman"/>
          <w:sz w:val="24"/>
          <w:szCs w:val="24"/>
          <w:rtl/>
        </w:rPr>
        <w:t xml:space="preserve">).</w:t>
      </w:r>
    </w:p>
    <w:p>
      <w:pPr>
        <w:bidi/>
        <w:spacing w:after="0" w:before="0" w:line="360" w:lineRule="auto"/>
        <w:jc w:val="both"/>
      </w:pPr>
      <w:r>
        <w:rPr>
          <w:rFonts w:ascii="Times New Roman" w:cs="David" w:hAnsi="Times New Roman"/>
          <w:b/>
          <w:bCs/>
          <w:sz w:val="24"/>
          <w:szCs w:val="24"/>
          <w:rtl/>
        </w:rPr>
        <w:t xml:space="preserve">התייחסות אישית - רביע: </w:t>
      </w:r>
      <w:r>
        <w:rPr>
          <w:rFonts w:ascii="Times New Roman" w:cs="David" w:hAnsi="Times New Roman"/>
          <w:sz w:val="24"/>
          <w:szCs w:val="24"/>
          <w:rtl/>
        </w:rPr>
        <w:t xml:space="preserve">בשכונה שבה גדלתי כמעט כל הבתים היו של קרובי משפחה, אבל דווקא השכנה שלנו, שלא הייתה קרובה שלנו בדם, נקראה אצלנו בבית "דודה". היא שמרה עלינו כשאמא איחרה לחזור מהעבודה, ובחגים ישבה איתנו לשולחן כאילו תמיד הייתה שם. רק במהלך הקורס הבנתי שהיא בדיוק מה שנקרא "כמו משפחה": אישה בלי מעמד רשמי בעץ המשפחה, שבפועל הייתה חלק ממנו. הקהילה שבה גדלתי נתנה לי תחושת ביטחון, ויחד איתה גם עין בוחנת שראתה כל דבר. שני הצדדים האלה עיצבו את הילדות שלי.</w:t>
      </w:r>
    </w:p>
    <w:p>
      <w:pPr>
        <w:bidi/>
        <w:spacing w:after="0" w:before="0" w:line="360" w:lineRule="auto"/>
        <w:jc w:val="both"/>
      </w:pPr>
      <w:r>
        <w:rPr>
          <w:rFonts w:ascii="Times New Roman" w:cs="David" w:hAnsi="Times New Roman"/>
          <w:b/>
          <w:bCs/>
          <w:sz w:val="24"/>
          <w:szCs w:val="24"/>
          <w:rtl/>
        </w:rPr>
        <w:t xml:space="preserve">התייחסות אישית - רדואן: </w:t>
      </w:r>
      <w:r>
        <w:rPr>
          <w:rFonts w:ascii="Times New Roman" w:cs="David" w:hAnsi="Times New Roman"/>
          <w:sz w:val="24"/>
          <w:szCs w:val="24"/>
          <w:rtl/>
        </w:rPr>
        <w:t xml:space="preserve">אני גדלתי בעיר, בבניין שבו השכנים בקושי הכירו זה את זה, ולכן הקהילה שלי לא הייתה השכונה אלא המשפחה המורחבת. בכל יום שישי התאספנו כולנו בבית של סבא וסבתא, והדודות שלי היו בשבילי כמו אימהות נוספות: הן ידעו הכול, התערבו בהכול, ותמיד היה למי לפנות. כילד זה נראה לי מובן מאליו. היום אני מבין שהמפגש השבועי הזה היה המנגנון שדרכו עברו אליי הערכים, השפה והשייכות, ושילדות בלי מעגל כזה נראית אחרת לגמרי.</w:t>
      </w:r>
    </w:p>
    <w:p>
      <w:pPr>
        <w:keepNext/>
        <w:bidi/>
        <w:spacing w:after="120" w:before="240" w:line="360" w:lineRule="auto"/>
        <w:jc w:val="both"/>
      </w:pPr>
      <w:r>
        <w:rPr>
          <w:rFonts w:ascii="Times New Roman" w:cs="David" w:hAnsi="Times New Roman"/>
          <w:b/>
          <w:bCs/>
          <w:sz w:val="24"/>
          <w:szCs w:val="24"/>
          <w:u w:val="single"/>
          <w:rtl/>
        </w:rPr>
        <w:t xml:space="preserve">שאלה 2: צמתי הכרעה בתהליך החיברות</w:t>
      </w:r>
    </w:p>
    <w:p>
      <w:pPr>
        <w:bidi/>
        <w:spacing w:after="0" w:before="0" w:line="360" w:lineRule="auto"/>
        <w:jc w:val="both"/>
      </w:pPr>
      <w:r>
        <w:rPr>
          <w:rFonts w:ascii="Times New Roman" w:cs="David" w:hAnsi="Times New Roman"/>
          <w:sz w:val="24"/>
          <w:szCs w:val="24"/>
          <w:rtl/>
        </w:rPr>
        <w:t xml:space="preserve">סוכני חיברות הם האנשים והמוסדות המתווכים לילד את הערכים, הנורמות ודפוסי ההתנהגות של החברה שבה הוא גדל, ודרכם הוא לומד מי הוא ומה מצופה ממנו (</w:t>
      </w:r>
      <w:r>
        <w:rPr>
          <w:rFonts w:ascii="Times New Roman" w:cs="David" w:hAnsi="Times New Roman"/>
          <w:sz w:val="24"/>
          <w:szCs w:val="24"/>
        </w:rPr>
        <w:t xml:space="preserve">לבוב ואלקיים, ל.ת.</w:t>
      </w:r>
      <w:r>
        <w:rPr>
          <w:rFonts w:ascii="Times New Roman" w:cs="David" w:hAnsi="Times New Roman"/>
          <w:sz w:val="24"/>
          <w:szCs w:val="24"/>
          <w:rtl/>
        </w:rPr>
        <w:t xml:space="preserve">). מבחינים בין סוכנים ראשוניים, ובראשם המשפחה הגרעינית, ובין סוכנים משניים: בית הספר, קבוצת השווים, הקהילה והתקשורת. כל אחד מהם משדר לילד מערך ציפיות בהתאם למקומו החברתי, ובתוך המסע בין המסרים מתעצבת זהותו (סעיד, 2026).</w:t>
      </w:r>
    </w:p>
    <w:p>
      <w:pPr>
        <w:bidi/>
        <w:spacing w:after="0" w:before="0" w:line="360" w:lineRule="auto"/>
        <w:jc w:val="both"/>
      </w:pPr>
      <w:r>
        <w:rPr>
          <w:rFonts w:ascii="Times New Roman" w:cs="David" w:hAnsi="Times New Roman"/>
          <w:sz w:val="24"/>
          <w:szCs w:val="24"/>
          <w:rtl/>
        </w:rPr>
        <w:t xml:space="preserve">בסרטון "שלא יהיה מאוחר מדי" סוכן החיברות הראשוני של תאמר, המשפחה, נפגע קשות בשל התמכרות האב לאלכוהול. הבית משדר חוסר יציבות, מתח ובושה, והמסר שתאמר סופג בו הוא שאין מבוגר פנוי שאפשר להישען עליו. בית הספר, סוכן פורמלי המייצג חוק וסדר, דורש ממנו התנהגות נורמטיבית אך אינו מזהה בזמן את המצוקה שמאחורי ההתנהגות. קבוצת השווים מעניקה לו שייכות זמנית, ולצדה לחץ חברתי ובחירות מסוכנות. משלושת המסרים האלה נבנה מי שתאמר היום: נער שערכו העצמי נפגע, הנקרע בין ציפייה לנורמטיביות ובין מציאות של הזנחה, ומחפש הכרה היכן שיקבל אותה.</w:t>
      </w:r>
    </w:p>
    <w:p>
      <w:pPr>
        <w:bidi/>
        <w:spacing w:after="0" w:before="0" w:line="360" w:lineRule="auto"/>
        <w:jc w:val="both"/>
      </w:pPr>
      <w:r>
        <w:rPr>
          <w:rFonts w:ascii="Times New Roman" w:cs="David" w:hAnsi="Times New Roman"/>
          <w:b/>
          <w:bCs/>
          <w:sz w:val="24"/>
          <w:szCs w:val="24"/>
          <w:rtl/>
        </w:rPr>
        <w:t xml:space="preserve">סוכן החיברות המשמעותי שלי - רביע: </w:t>
      </w:r>
      <w:r>
        <w:rPr>
          <w:rFonts w:ascii="Times New Roman" w:cs="David" w:hAnsi="Times New Roman"/>
          <w:sz w:val="24"/>
          <w:szCs w:val="24"/>
          <w:rtl/>
        </w:rPr>
        <w:t xml:space="preserve">סוכנת החיברות המשמעותית שלי הייתה סבתי. גדלתי לידה, וממנה קיבלתי את המסרים שמלווים אותי עד היום: מכבדים כל אורח שנכנס הביתה, לא מדברים על אנשים מאחורי גבם, ומי שמתמיד משיג. היא לא הרצתה לי אף פעם. היא פשוט חיה כך, ואני למדתי מהתבוננות.</w:t>
      </w:r>
    </w:p>
    <w:p>
      <w:pPr>
        <w:bidi/>
        <w:spacing w:after="0" w:before="0" w:line="360" w:lineRule="auto"/>
        <w:jc w:val="both"/>
      </w:pPr>
      <w:r>
        <w:rPr>
          <w:rFonts w:ascii="Times New Roman" w:cs="David" w:hAnsi="Times New Roman"/>
          <w:b/>
          <w:bCs/>
          <w:sz w:val="24"/>
          <w:szCs w:val="24"/>
          <w:rtl/>
        </w:rPr>
        <w:t xml:space="preserve">סוכן החיברות המשמעותי שלי - רדואן: </w:t>
      </w:r>
      <w:r>
        <w:rPr>
          <w:rFonts w:ascii="Times New Roman" w:cs="David" w:hAnsi="Times New Roman"/>
          <w:sz w:val="24"/>
          <w:szCs w:val="24"/>
          <w:rtl/>
        </w:rPr>
        <w:t xml:space="preserve">אצלי הייתה זו המחנכת של כיתה ו'. היא הייתה הראשונה שאמרה לי בקול שאני טוב בלימודים, ונתנה לי אחריות על חניכת תלמיד צעיר. המסר שקיבלתי ממנה, שיש בי משהו לתת לאחרים, הוא הסיבה שבחרתי היום ללמוד חינוך.</w:t>
      </w:r>
    </w:p>
    <w:p>
      <w:pPr>
        <w:bidi/>
        <w:spacing w:after="0" w:before="0" w:line="360" w:lineRule="auto"/>
        <w:jc w:val="both"/>
      </w:pPr>
      <w:r>
        <w:rPr>
          <w:rFonts w:ascii="Times New Roman" w:cs="David" w:hAnsi="Times New Roman"/>
          <w:sz w:val="24"/>
          <w:szCs w:val="24"/>
          <w:rtl/>
        </w:rPr>
        <w:t xml:space="preserve">כאשר שני סוכני חיברות משדרים לילד מסרים סותרים באותו נושא, נוצר אצלו דיסוננס: הוא נדרש להכריע בין נאמנויות ולהחליט למי להאמין. ההכרעה תלויה בגיל, בעוצמת הקשר עם כל סוכן ובמחיר החברתי של כל בחירה, ובגיל ההתבגרות, כשכוחה של קבוצת השווים עולה, הצמתים האלה מתחדדים. אצל תאמר הסתירה חריפה במיוחד: בית הספר מצפה ממנו לתפקוד נורמטיבי, ואילו הבית מספק הזנחה ופגיעה בערך העצמי. פער כזה מקשה על גיבוש זהות יציבה ומוליד בלבול, אשמה וניתוק.</w:t>
      </w:r>
    </w:p>
    <w:p>
      <w:pPr>
        <w:bidi/>
        <w:spacing w:after="0" w:before="0" w:line="360" w:lineRule="auto"/>
        <w:jc w:val="both"/>
      </w:pPr>
      <w:r>
        <w:rPr>
          <w:rFonts w:ascii="Times New Roman" w:cs="David" w:hAnsi="Times New Roman"/>
          <w:b/>
          <w:bCs/>
          <w:sz w:val="24"/>
          <w:szCs w:val="24"/>
          <w:rtl/>
        </w:rPr>
        <w:t xml:space="preserve">צומת הכרעה אישי - רביע: </w:t>
      </w:r>
      <w:r>
        <w:rPr>
          <w:rFonts w:ascii="Times New Roman" w:cs="David" w:hAnsi="Times New Roman"/>
          <w:sz w:val="24"/>
          <w:szCs w:val="24"/>
          <w:rtl/>
        </w:rPr>
        <w:t xml:space="preserve">בסיום התיכון עמדתי בצומת בין שני סוכני חיברות. המחנך שלי דחף אותי להירשם לאוניברסיטה רחוקה מהבית, ואמר שמגיע לי ללמוד במקום הטוב ביותר. בבית המסר היה הפוך: הבן נשאר קרוב, עוזר בפרנסה ולא מתרחק מהמשפחה. בסוף בחרתי במכללה קרובה לבית. באותו רגע זה הרגיש כמו ויתור, אבל היום אני רואה בזה הכרעה שלי: רציתי גם ללמוד וגם להישאר קרוב למשפחה, ומצאתי דרך שמכילה את שני המסרים במקום לבחור רק באחד.</w:t>
      </w:r>
    </w:p>
    <w:p>
      <w:pPr>
        <w:bidi/>
        <w:spacing w:after="0" w:before="0" w:line="360" w:lineRule="auto"/>
        <w:jc w:val="both"/>
      </w:pPr>
      <w:r>
        <w:rPr>
          <w:rFonts w:ascii="Times New Roman" w:cs="David" w:hAnsi="Times New Roman"/>
          <w:b/>
          <w:bCs/>
          <w:sz w:val="24"/>
          <w:szCs w:val="24"/>
          <w:rtl/>
        </w:rPr>
        <w:t xml:space="preserve">צומת הכרעה אישי - רדואן: </w:t>
      </w:r>
      <w:r>
        <w:rPr>
          <w:rFonts w:ascii="Times New Roman" w:cs="David" w:hAnsi="Times New Roman"/>
          <w:sz w:val="24"/>
          <w:szCs w:val="24"/>
          <w:rtl/>
        </w:rPr>
        <w:t xml:space="preserve">בגיל שש עשרה החברים שלי פתחו חשבונות ברשתות החברתיות והעלו סרטונים מכל בילוי. המסר שלהם היה ברור: מי שלא שם, לא קיים. בבית המסר היה הפוך, שאת חיי המשפחה לא מפרסמים ברשת ומי שמכבד את עצמו שומר על פרטיותו. התלבטתי חודשים. בסוף פתחתי חשבון, אבל קבעתי לעצמי גבולות: בלי חשיפה של המשפחה ובלי תיעוד של כל רגע. בחרתי כך כי רציתי להישאר חלק מקבוצת השווים בלי לוותר על הערכים שגדלתי עליהם, והפשרה הזו מחזיקה מעמד עד היום.</w:t>
      </w:r>
    </w:p>
    <w:p>
      <w:pPr>
        <w:keepNext/>
        <w:bidi/>
        <w:spacing w:after="120" w:before="240" w:line="360" w:lineRule="auto"/>
        <w:jc w:val="both"/>
      </w:pPr>
      <w:r>
        <w:rPr>
          <w:rFonts w:ascii="Times New Roman" w:cs="David" w:hAnsi="Times New Roman"/>
          <w:b/>
          <w:bCs/>
          <w:sz w:val="24"/>
          <w:szCs w:val="24"/>
          <w:u w:val="single"/>
          <w:rtl/>
        </w:rPr>
        <w:t xml:space="preserve">שאלה 3: תאמר והמודל האקולוגי</w:t>
      </w:r>
    </w:p>
    <w:p>
      <w:pPr>
        <w:bidi/>
        <w:spacing w:after="0" w:before="0" w:line="360" w:lineRule="auto"/>
        <w:jc w:val="both"/>
      </w:pPr>
      <w:r>
        <w:rPr>
          <w:rFonts w:ascii="Times New Roman" w:cs="David" w:hAnsi="Times New Roman"/>
          <w:sz w:val="24"/>
          <w:szCs w:val="24"/>
          <w:rtl/>
        </w:rPr>
        <w:t xml:space="preserve">המודל האקולוגי רואה את התפתחות הילד כמתרחשת בתוך סדרת מעגלים סביבתיים העוטפים זה את זה ומשפיעים זה על זה, כשבמרכזם הפרט עצמו: המיקרוסיסטם, המזוסיסטם, האקסוסיסטם, המקרוסיסטם וציר הזמן (</w:t>
      </w:r>
      <w:r>
        <w:rPr>
          <w:rFonts w:ascii="Times New Roman" w:cs="David" w:hAnsi="Times New Roman"/>
          <w:sz w:val="24"/>
          <w:szCs w:val="24"/>
        </w:rPr>
        <w:t xml:space="preserve">Bronfenbrenner, 1979</w:t>
      </w:r>
      <w:r>
        <w:rPr>
          <w:rFonts w:ascii="Times New Roman" w:cs="David" w:hAnsi="Times New Roman"/>
          <w:sz w:val="24"/>
          <w:szCs w:val="24"/>
          <w:rtl/>
        </w:rPr>
        <w:t xml:space="preserve">; </w:t>
      </w:r>
      <w:r>
        <w:rPr>
          <w:rFonts w:ascii="Times New Roman" w:cs="David" w:hAnsi="Times New Roman"/>
          <w:sz w:val="24"/>
          <w:szCs w:val="24"/>
        </w:rPr>
        <w:t xml:space="preserve">גנאים חסין, 2026ב</w:t>
      </w:r>
      <w:r>
        <w:rPr>
          <w:rFonts w:ascii="Times New Roman" w:cs="David" w:hAnsi="Times New Roman"/>
          <w:sz w:val="24"/>
          <w:szCs w:val="24"/>
          <w:rtl/>
        </w:rPr>
        <w:t xml:space="preserve">).</w:t>
      </w:r>
    </w:p>
    <w:p>
      <w:pPr>
        <w:bidi/>
        <w:spacing w:after="0" w:before="0" w:line="360" w:lineRule="auto"/>
        <w:jc w:val="both"/>
      </w:pPr>
      <w:r>
        <w:rPr>
          <w:rFonts w:ascii="Times New Roman" w:cs="David" w:hAnsi="Times New Roman"/>
          <w:sz w:val="24"/>
          <w:szCs w:val="24"/>
          <w:rtl/>
        </w:rPr>
        <w:t xml:space="preserve">במיקרוסיסטם של תאמר נמצאים האנשים שעמם יש לו קשר יומיומי ישיר: הוריו ואחיו, המורים, וקבוצת החברים. זו המערכת שמשפיעה עליו באופן החזק ביותר, שכן הגירויים הישירים שילד מקבל מהיחסים הקרובים מעצבים את התפתחותו הרגשית, המוסרית וההתנהגותית (</w:t>
      </w:r>
      <w:r>
        <w:rPr>
          <w:rFonts w:ascii="Times New Roman" w:cs="David" w:hAnsi="Times New Roman"/>
          <w:sz w:val="24"/>
          <w:szCs w:val="24"/>
        </w:rPr>
        <w:t xml:space="preserve">גנאים חסין, 2026ב</w:t>
      </w:r>
      <w:r>
        <w:rPr>
          <w:rFonts w:ascii="Times New Roman" w:cs="David" w:hAnsi="Times New Roman"/>
          <w:sz w:val="24"/>
          <w:szCs w:val="24"/>
          <w:rtl/>
        </w:rPr>
        <w:t xml:space="preserve">). בפועל המיקרוסיסטם של תאמר פועל נגדו. התמכרות האב לאלכוהול משבשת את תפקודו ההורי: הוא אינו מספק לבנו ביטחון, הגנה ותמיכה, והאווירה בבית רוויה מתח, חוסר יציבות ובושה. תאמר כועס על אביו, מתבייש מול חבריו וערכו העצמי נשחק. ילד שחווה הזנחה כזו מתקשה לבנות קשר חיובי עם דמויות סמכות, וכך תאמר מגיע לכיתה עם התנהגות מתריסה, והמורים פוגשים את ההתנהגות בלי לראות את הילד שמאחוריה.</w:t>
      </w:r>
    </w:p>
    <w:p>
      <w:pPr>
        <w:bidi/>
        <w:spacing w:after="0" w:before="0" w:line="360" w:lineRule="auto"/>
        <w:jc w:val="both"/>
      </w:pPr>
      <w:r>
        <w:rPr>
          <w:rFonts w:ascii="Times New Roman" w:cs="David" w:hAnsi="Times New Roman"/>
          <w:sz w:val="24"/>
          <w:szCs w:val="24"/>
          <w:rtl/>
        </w:rPr>
        <w:t xml:space="preserve">המזוסיסטם הוא מערכת הקשרים שבין סביבות המיקרו עצמן: הקשר בין ההורים לבית הספר, בין המשפחה לחברים, בין המורים לגורמי הטיפול. כשילד לומד מסר דומה בשתי סביבות מיקרו, הוא מתחזק כפליים; כשזרימת המידע ביניהן נחסמת, אף אחד אינו רואה את התמונה המלאה (</w:t>
      </w:r>
      <w:r>
        <w:rPr>
          <w:rFonts w:ascii="Times New Roman" w:cs="David" w:hAnsi="Times New Roman"/>
          <w:sz w:val="24"/>
          <w:szCs w:val="24"/>
        </w:rPr>
        <w:t xml:space="preserve">גנאים חסין, 2026ב</w:t>
      </w:r>
      <w:r>
        <w:rPr>
          <w:rFonts w:ascii="Times New Roman" w:cs="David" w:hAnsi="Times New Roman"/>
          <w:sz w:val="24"/>
          <w:szCs w:val="24"/>
          <w:rtl/>
        </w:rPr>
        <w:t xml:space="preserve">). אצל תאמר המזוסיסטם כשל. בין הבית לבית הספר אין שיח רציף: הקשיים שהוא נושא מהבית מחלחלים להתנהגותו ולהישגיו, אך בית הספר קורא אותם כבעיית משמעת ולא כאיתות מצוקה, ואיש אינו מזהה את הסימנים בזמן. כל גורם מחזיק חתיכה מהתמונה בלי שאיש רואה אותה בשלמותה. לדעתנו נכון היה לקיים שיתוף פעולה שוטף בין המחנכת, היועצת וההורים, בשיח פתוח ולא שיפוטי, להפנות את המשפחה לגורמי טיפול ולבנות תוכנית משותפת עם מבוגר אחד שמלווה את תאמר ברציפות. זיהוי מוקדם כזה היה יכול לשנות את מסלולו.</w:t>
      </w:r>
    </w:p>
    <w:p>
      <w:pPr>
        <w:bidi/>
        <w:spacing w:after="0" w:before="0" w:line="360" w:lineRule="auto"/>
        <w:jc w:val="both"/>
      </w:pPr>
      <w:r>
        <w:rPr>
          <w:rFonts w:ascii="Times New Roman" w:cs="David" w:hAnsi="Times New Roman"/>
          <w:sz w:val="24"/>
          <w:szCs w:val="24"/>
          <w:rtl/>
        </w:rPr>
        <w:t xml:space="preserve">באקסוסיסטם נמצאות מערכות שתאמר אינו משתתף בהן ישירות אך הן מעצבות את חייו, וגם בהן ניכר כשל: מחלקת הרווחה לא זיהתה את המשפחה כמשפחה בסיכון ולא הפעילה תוכנית התערבות, התמכרות האב נותרה ללא מענה טיפולי, המשפחה המורחבת לא נרתמה לתמיכה, ומסגרות חינוך בלתי פורמלי, חוגים או תנועת נוער, כלל אינן חלק מחייו של תאמר, אף שהיו יכולות להעניק לו דמות מבוגר משמעותית וחוויית הצלחה. במקרוסיסטם פועלים הערכים והנורמות של החברה כולה: הסטיגמה סביב התמכרות, הנתפסת כחולשה אישית ולא כמחלה, דוחפת את המשפחה להסתיר את הבעיה במקום לבקש עזרה, וזאת על רקע מצוקה חברתית-כלכלית ומתח מתמיד בין מסורת למודרניזציה (</w:t>
      </w:r>
      <w:r>
        <w:rPr>
          <w:rFonts w:ascii="Times New Roman" w:cs="David" w:hAnsi="Times New Roman"/>
          <w:sz w:val="24"/>
          <w:szCs w:val="24"/>
        </w:rPr>
        <w:t xml:space="preserve">גנאים חסין, 2026א</w:t>
      </w:r>
      <w:r>
        <w:rPr>
          <w:rFonts w:ascii="Times New Roman" w:cs="David" w:hAnsi="Times New Roman"/>
          <w:sz w:val="24"/>
          <w:szCs w:val="24"/>
          <w:rtl/>
        </w:rPr>
        <w:t xml:space="preserve">). התקרית הסופית, השוד בבית הספר, אינה אירוע מבודד אלא סופו של תהליך מצטבר: פגיעה רגשית מתמשכת בבית, תיוג וענישה בבית הספר, והיעדר כל מסגרת חלופית של שייכות. מודל כבש"ה שנלמד בקורס מבהיר את התמונה: ארבעת הצרכים הבסיסיים של תאמר נותרו ללא מענה. כבודו נפגע בשל הבושה סביב מצב אביו, ביטחונו התערער באווירת הבית, שייכות לא מצא באף מסגרת, והצלחה לא חווה לא בלימודים ולא בחברה (סעיד, 2026). נער שכל ארבעת הצרכים האלה חסומים אצלו פועל בסוף מתוך ייאוש ותסכול, ובכל צומת ברצף עמד מבוגר שיכול היה לעצור זאת ולא עצר.</w:t>
      </w:r>
    </w:p>
    <w:p>
      <w:pPr>
        <w:bidi/>
        <w:spacing w:after="0" w:before="0" w:line="360" w:lineRule="auto"/>
        <w:jc w:val="both"/>
      </w:pPr>
      <w:r>
        <w:rPr>
          <w:rFonts w:ascii="Times New Roman" w:cs="David" w:hAnsi="Times New Roman"/>
          <w:sz w:val="24"/>
          <w:szCs w:val="24"/>
          <w:rtl/>
        </w:rPr>
        <w:t xml:space="preserve">כדי לפתח אצל תאמר תחושת שייכות וערך עצמי, המעגלים היו צריכים לפעול יחד ולא זה לצד זה: קשר שוטף בין המשפחה המורחבת, בית הספר, מחלקת הרווחה והחינוך הבלתי פורמלי, עם דמות מבוגר אחת שמרכזת את התמונה; מסגרות פנאי זמינות ביישוב ומודלים לחיקוי מתוך הקהילה; והתמקדות בחוזקות של הנער במקום בתיוגו. התערבות אפקטיבית מחזקת גורמי חוסן קבועים ומצמצמת גורמי סיכון דינמיים, כך שהנער פוגש מבוגרים שמאמינים בו בכל מעגל שבו הוא נע (גנאים חסין, 2026ב).</w:t>
      </w:r>
    </w:p>
    <w:p>
      <w:pPr>
        <w:keepNext/>
        <w:bidi/>
        <w:spacing w:after="120" w:before="240" w:line="360" w:lineRule="auto"/>
        <w:jc w:val="both"/>
      </w:pPr>
      <w:r>
        <w:rPr>
          <w:rFonts w:ascii="Times New Roman" w:cs="David" w:hAnsi="Times New Roman"/>
          <w:b/>
          <w:bCs/>
          <w:sz w:val="24"/>
          <w:szCs w:val="24"/>
          <w:u w:val="single"/>
          <w:rtl/>
        </w:rPr>
        <w:t xml:space="preserve">שאלה 4: משפחות במשבר וגורמי סיכון</w:t>
      </w:r>
    </w:p>
    <w:p>
      <w:pPr>
        <w:bidi/>
        <w:spacing w:after="0" w:before="0" w:line="360" w:lineRule="auto"/>
        <w:jc w:val="both"/>
      </w:pPr>
      <w:r>
        <w:rPr>
          <w:rFonts w:ascii="Times New Roman" w:cs="David" w:hAnsi="Times New Roman"/>
          <w:sz w:val="24"/>
          <w:szCs w:val="24"/>
          <w:rtl/>
        </w:rPr>
        <w:t xml:space="preserve">"רוחות רפאים מחדר הילדים" הוא מושג המתאר כיצד חוויות ילדות כואבות ולא מעובדות של ההורה חוזרות ומופיעות ביחסיו עם ילדו: ההורה משחזר, בלא מודע, דפוסי פגיעה שחווה בעצמו, וכך עוברת המצוקה מדור לדור. ההורה אינו אדם רע; הוא הורה שלא זכה לעיבוד של כאבו, והעבר שלו "מתיישב" בחדר הילדים של ילדו (</w:t>
      </w:r>
      <w:r>
        <w:rPr>
          <w:rFonts w:ascii="Times New Roman" w:cs="David" w:hAnsi="Times New Roman"/>
          <w:sz w:val="24"/>
          <w:szCs w:val="24"/>
        </w:rPr>
        <w:t xml:space="preserve">Fraiberg et al., 1975</w:t>
      </w:r>
      <w:r>
        <w:rPr>
          <w:rFonts w:ascii="Times New Roman" w:cs="David" w:hAnsi="Times New Roman"/>
          <w:sz w:val="24"/>
          <w:szCs w:val="24"/>
          <w:rtl/>
        </w:rPr>
        <w:t xml:space="preserve">).</w:t>
      </w:r>
    </w:p>
    <w:p>
      <w:pPr>
        <w:bidi/>
        <w:spacing w:after="0" w:before="0" w:line="360" w:lineRule="auto"/>
        <w:jc w:val="both"/>
      </w:pPr>
      <w:r>
        <w:rPr>
          <w:rFonts w:ascii="Times New Roman" w:cs="David" w:hAnsi="Times New Roman"/>
          <w:sz w:val="24"/>
          <w:szCs w:val="24"/>
          <w:rtl/>
        </w:rPr>
        <w:t xml:space="preserve">שלושה גורמי סיכון במשפחה: עוני ומצוקה כלכלית מתמשכת; אלימות במשפחה; והתמכרות או מחלה נפשית של הורה, הפוגעות בזמינותו הרגשית לילדיו.</w:t>
      </w:r>
    </w:p>
    <w:p>
      <w:pPr>
        <w:bidi/>
        <w:spacing w:after="0" w:before="0" w:line="360" w:lineRule="auto"/>
        <w:jc w:val="both"/>
      </w:pPr>
      <w:r>
        <w:rPr>
          <w:rFonts w:ascii="Times New Roman" w:cs="David" w:hAnsi="Times New Roman"/>
          <w:sz w:val="24"/>
          <w:szCs w:val="24"/>
          <w:rtl/>
        </w:rPr>
        <w:t xml:space="preserve">משבר הוא מצב שבו דרישות המציאות עולות על משאבי ההתמודדות הרגילים: הכלים שעבדו עד כה מפסיקים לעבוד ונדרש ארגון מחדש. מבנה המשפחה משפיע על ההתמודדות: משפחה מורחבת ומלוכדת מעמידה רשת תמיכה של עזרה הדדית, משפחה מצומצמת או מבודדת נושאת את המשבר לבדה, ומבנה היררכי נוקשה מקשה על גמישות בחלוקת תפקידים דווקא כשנדרש שינוי (גנאים חסין, 2026א). המשבר הוא גם עניין סובייקטיבי: אותו אירוע ייחווה במשפחה אחת כקטסטרופה ובאחרת כקושי בר-חלוף, בהתאם למשמעות שמייחסים לו, לניסיון קודם ולמשאבים הזמינים.</w:t>
      </w:r>
    </w:p>
    <w:p>
      <w:pPr>
        <w:bidi/>
        <w:spacing w:after="0" w:before="0" w:line="360" w:lineRule="auto"/>
        <w:jc w:val="both"/>
      </w:pPr>
      <w:r>
        <w:rPr>
          <w:rFonts w:ascii="Times New Roman" w:cs="David" w:hAnsi="Times New Roman"/>
          <w:sz w:val="24"/>
          <w:szCs w:val="24"/>
          <w:rtl/>
        </w:rPr>
        <w:t xml:space="preserve">גורמי לחץ ומשבר בקרב משפחות נחלקים לנורמטיביים, המלווים את מעגל החיים, כמו לידה, התבגרות או פרישה, וללא נורמטיביים: מחלה קשה, אבטלה, גירושין, מוות של בן משפחה, הגירה ומלחמה. על תפקוד המשפחה בזמן משבר משפיעים היקף רשת התמיכה, הגמישות בחלוקת התפקידים, איכות התקשורת, ניסיון ממשברים קודמים והמצב הכלכלי. למשפחות בסיכון ניתן לעזור באיתור מוקדם, בחיזוק גורמי החוסן הקיימים במקום התמקדות בחסרים, בצמצום גורמי סיכון דינמיים, בליווי של גורם מקצועי קבוע ובשותפות אמיתית עם ההורים (גנאים חסין, 2026ב).</w:t>
      </w:r>
    </w:p>
    <w:p>
      <w:pPr>
        <w:bidi/>
        <w:spacing w:after="0" w:before="0" w:line="360" w:lineRule="auto"/>
        <w:jc w:val="both"/>
      </w:pPr>
      <w:r>
        <w:rPr>
          <w:rFonts w:ascii="Times New Roman" w:cs="David" w:hAnsi="Times New Roman"/>
          <w:sz w:val="24"/>
          <w:szCs w:val="24"/>
          <w:rtl/>
        </w:rPr>
        <w:t xml:space="preserve">מודל גש"ר מאח"ד מתאר שישה ערוצי התמודדות עם לחץ: גוף, שכל, רגש, משפחה וחברה, אמונה ודמיון. לכל אדם ערוצים דומיננטיים שאליהם הוא פונה באופן אוטומטי, והרחבת הרפרטואר לערוצים נוספים מגדילה את החוסן (</w:t>
      </w:r>
      <w:r>
        <w:rPr>
          <w:rFonts w:ascii="Times New Roman" w:cs="David" w:hAnsi="Times New Roman"/>
          <w:sz w:val="24"/>
          <w:szCs w:val="24"/>
        </w:rPr>
        <w:t xml:space="preserve">להד וקפלינסקי, 2007</w:t>
      </w:r>
      <w:r>
        <w:rPr>
          <w:rFonts w:ascii="Times New Roman" w:cs="David" w:hAnsi="Times New Roman"/>
          <w:sz w:val="24"/>
          <w:szCs w:val="24"/>
          <w:rtl/>
        </w:rPr>
        <w:t xml:space="preserve">).</w:t>
      </w:r>
    </w:p>
    <w:p>
      <w:pPr>
        <w:bidi/>
        <w:spacing w:after="0" w:before="0" w:line="360" w:lineRule="auto"/>
        <w:jc w:val="both"/>
      </w:pPr>
      <w:r>
        <w:rPr>
          <w:rFonts w:ascii="Times New Roman" w:cs="David" w:hAnsi="Times New Roman"/>
          <w:b/>
          <w:bCs/>
          <w:sz w:val="24"/>
          <w:szCs w:val="24"/>
          <w:rtl/>
        </w:rPr>
        <w:t xml:space="preserve">התבוננות אישית על פי המודל - רביע: </w:t>
      </w:r>
      <w:r>
        <w:rPr>
          <w:rFonts w:ascii="Times New Roman" w:cs="David" w:hAnsi="Times New Roman"/>
          <w:sz w:val="24"/>
          <w:szCs w:val="24"/>
          <w:rtl/>
        </w:rPr>
        <w:t xml:space="preserve">מצב הלחץ שחשבתי עליו הוא תקופת המבחנים של השנה הראשונה בתואר. האוטומט שלי היה ערוץ הרגש: בכיתי, שיתפתי את כולם בלחץ ולא הצלחתי לשבת ללמוד. מה שהקל עליי בסוף היה שילוב של ערוץ החברה, למידה משותפת עם חבר מהקורס שנתן לי תחושה שאני לא לבד, ושל ערוץ השכל, בניית לוח זמנים שהחזיר לי שליטה. הערוץ שהייתי רוצה לפתח הוא ערוץ הגוף: אני יודע שהליכה או ספורט היו משחררים חלק מהמתח, וזה הערוץ שאני הכי מזניח.</w:t>
      </w:r>
    </w:p>
    <w:p>
      <w:pPr>
        <w:bidi/>
        <w:spacing w:after="0" w:before="0" w:line="360" w:lineRule="auto"/>
        <w:jc w:val="both"/>
      </w:pPr>
      <w:r>
        <w:rPr>
          <w:rFonts w:ascii="Times New Roman" w:cs="David" w:hAnsi="Times New Roman"/>
          <w:b/>
          <w:bCs/>
          <w:sz w:val="24"/>
          <w:szCs w:val="24"/>
          <w:rtl/>
        </w:rPr>
        <w:t xml:space="preserve">התבוננות אישית על פי המודל - רדואן: </w:t>
      </w:r>
      <w:r>
        <w:rPr>
          <w:rFonts w:ascii="Times New Roman" w:cs="David" w:hAnsi="Times New Roman"/>
          <w:sz w:val="24"/>
          <w:szCs w:val="24"/>
          <w:rtl/>
        </w:rPr>
        <w:t xml:space="preserve">אצלי מצב הלחץ היה תקופת האשפוז של אבי. האוטומט שלי היה ערוץ השכל: התחלתי לארגן, לתאם תורים, לאסוף מידע על המחלה. זה החזיק אותי מתפקד, אבל דחק הצידה את הרגש, ורק אחרי שבועות הרשיתי לעצמי לבכות. מה שהקל עליי היה ערוץ האמונה, תפילה שנתנה לי תחושה שיש על מי להישען, וערוץ המשפחה והחברה, חלוקת הנטל עם אחיי. הייתי רוצה לפתח את ערוץ הרגש, לתת לתחושות מקום בזמן אמת במקום לדחות אותן עד שהן מציפות אותי.</w:t>
      </w:r>
    </w:p>
    <w:p>
      <w:pPr>
        <w:keepNext/>
        <w:bidi/>
        <w:spacing w:after="120" w:before="240" w:line="360" w:lineRule="auto"/>
        <w:jc w:val="both"/>
      </w:pPr>
      <w:r>
        <w:rPr>
          <w:rFonts w:ascii="Times New Roman" w:cs="David" w:hAnsi="Times New Roman"/>
          <w:b/>
          <w:bCs/>
          <w:sz w:val="24"/>
          <w:szCs w:val="24"/>
          <w:u w:val="single"/>
          <w:rtl/>
        </w:rPr>
        <w:t xml:space="preserve">שאלה 5: סיכום ואמירה אישית</w:t>
      </w:r>
    </w:p>
    <w:p>
      <w:pPr>
        <w:bidi/>
        <w:spacing w:after="0" w:before="0" w:line="360" w:lineRule="auto"/>
        <w:jc w:val="both"/>
      </w:pPr>
      <w:r>
        <w:rPr>
          <w:rFonts w:ascii="Times New Roman" w:cs="David" w:hAnsi="Times New Roman"/>
          <w:b/>
          <w:bCs/>
          <w:sz w:val="24"/>
          <w:szCs w:val="24"/>
          <w:rtl/>
        </w:rPr>
        <w:t xml:space="preserve">רביע: </w:t>
      </w:r>
      <w:r>
        <w:rPr>
          <w:rFonts w:ascii="Times New Roman" w:cs="David" w:hAnsi="Times New Roman"/>
          <w:sz w:val="24"/>
          <w:szCs w:val="24"/>
          <w:rtl/>
        </w:rPr>
        <w:t xml:space="preserve">נכנסתי לקורס בטוח שמשפחה היא עניין פרטי: מה שקורה בבית נשאר בבית, וילד מעוצב קודם כל על ידי הוריו. המודל האקולוגי ערער לי את התפיסה הזו. ההבנה שילד חי בתוך מעגלים שמשפיעים עליו גם כשהוא אינו פוגש אותם ישירות, כמו החלטות של רשות מקומית או נורמות של חברה שלמה, שינתה את האופן שבו אני מסתכל על ילדים ועל ההתנהגות שלהם. את הדבר הפחות מחמיא גיליתי על עצמי מול תאמר: גם אני ממהר לתייג, שכן המחשבה הראשונה שלי בתחילת הסרטון הייתה "ילד אלים", בדיוק המבט שהעבודה הזו מבקרת. למדתי גם משהו על המשפחה שלי: פתאום זיהיתי אצל אמי דפוסים שהיא קיבלה מאמה, והבנתי עד כמה ההעברה הבין-דורית נוכחת גם אצלנו, לטוב ולרע. השיעורים על המשפחה הערבית נגעו בי באופן אישי, כי ראיתי בהם את הקהילה שבה גדלתי: הכוח של המשפחה המורחבת לצד המתח שבין שימור לשינוי. אני מסיים את הקורס עם כלל עבודה אחד שאקח לכל מסגרת חינוכית: לפני שאני שופט ילד, לשאול איזה מעגל סביבו נשבר ומה אני יכול לעשות כדי לחבר אותו מחדש.</w:t>
      </w:r>
    </w:p>
    <w:p>
      <w:pPr>
        <w:bidi/>
        <w:spacing w:after="0" w:before="0" w:line="360" w:lineRule="auto"/>
        <w:jc w:val="both"/>
      </w:pPr>
      <w:r>
        <w:rPr>
          <w:rFonts w:ascii="Times New Roman" w:cs="David" w:hAnsi="Times New Roman"/>
          <w:b/>
          <w:bCs/>
          <w:sz w:val="24"/>
          <w:szCs w:val="24"/>
          <w:rtl/>
        </w:rPr>
        <w:t xml:space="preserve">רדואן: </w:t>
      </w:r>
      <w:r>
        <w:rPr>
          <w:rFonts w:ascii="Times New Roman" w:cs="David" w:hAnsi="Times New Roman"/>
          <w:sz w:val="24"/>
          <w:szCs w:val="24"/>
          <w:rtl/>
        </w:rPr>
        <w:t xml:space="preserve">בשבילי הרגע המשמעותי בקורס היה המפגש עם המושג "רוחות רפאים מחדר הילדים". תמיד אמרתי לעצמי שאחנך את ילדיי אחרת לגמרי מאיך שחונכתי, ופתאום הבנתי שגם התגובות שלי היום, הקפדנות והקושי לקבל ביקורת, הן אורחות מהעבר של הוריי ולא רק בחירות חופשיות שלי. זו הייתה תובנה לא נעימה, ודווקא בגללה חשובה. עוד למדתי שילדות אינה דבר מובן מאליו אלא הבניה התלויה בזמן, במקום ובקהילה, ושהילדות שלי, על החופש והביטחון שהיו בה, היא זכות שלא לכל ילד יש. גם העבודה בזוג לימדה אותי משהו: כשניתחנו יחד את הסרטון גיליתי שאנחנו רואים את אותן סצנות אחרת, ושהמעגלים שכל אחד מאיתנו גדל בתוכם צובעים גם את המבט המקצועי שלו. כשאעבוד עם ילדים אני רוצה לזכור את שני הדברים יחד: שהילד שמולי נושא איתו את המעגלים שבתוכם גדל, ושאני מביא למפגש את המעגלים שלי. המודעות הזו אינה פותרת הכול, אבל היא נקודת התחלה כנה.</w:t>
      </w:r>
    </w:p>
    <w:p>
      <w:pPr>
        <w:pageBreakBefore/>
        <w:bidi/>
        <w:spacing w:after="240" w:line="360" w:lineRule="auto"/>
        <w:jc w:val="center"/>
      </w:pPr>
      <w:r>
        <w:rPr>
          <w:rFonts w:ascii="Times New Roman" w:cs="David" w:hAnsi="Times New Roman"/>
          <w:b/>
          <w:bCs/>
          <w:sz w:val="28"/>
          <w:szCs w:val="28"/>
          <w:u w:val="single"/>
          <w:rtl/>
        </w:rPr>
        <w:t xml:space="preserve">רשימת מקורות</w:t>
      </w:r>
    </w:p>
    <w:p>
      <w:pPr>
        <w:bidi/>
        <w:spacing w:line="480" w:lineRule="auto"/>
        <w:ind w:left="709" w:hanging="709"/>
        <w:jc w:val="right"/>
      </w:pPr>
      <w:r>
        <w:rPr>
          <w:rFonts w:ascii="Times New Roman" w:cs="David" w:hAnsi="Times New Roman"/>
          <w:sz w:val="24"/>
          <w:szCs w:val="24"/>
          <w:rtl/>
        </w:rPr>
        <w:t xml:space="preserve">אגמון, א' (2022). מחשבות על היסטוריה של המשפחה. </w:t>
      </w:r>
      <w:r>
        <w:rPr>
          <w:rFonts w:ascii="Times New Roman" w:cs="David" w:hAnsi="Times New Roman"/>
          <w:i/>
          <w:iCs/>
          <w:sz w:val="24"/>
          <w:szCs w:val="24"/>
          <w:rtl/>
        </w:rPr>
        <w:t xml:space="preserve">ג'מאעה, כו</w:t>
      </w:r>
      <w:r>
        <w:rPr>
          <w:rFonts w:ascii="Times New Roman" w:cs="David" w:hAnsi="Times New Roman"/>
          <w:sz w:val="24"/>
          <w:szCs w:val="24"/>
          <w:rtl/>
        </w:rPr>
        <w:t xml:space="preserve">, 191-204.</w:t>
      </w:r>
    </w:p>
    <w:p>
      <w:pPr>
        <w:bidi/>
        <w:spacing w:line="480" w:lineRule="auto"/>
        <w:ind w:left="709" w:hanging="709"/>
        <w:jc w:val="right"/>
      </w:pPr>
      <w:r>
        <w:rPr>
          <w:rFonts w:ascii="Times New Roman" w:cs="David" w:hAnsi="Times New Roman"/>
          <w:sz w:val="24"/>
          <w:szCs w:val="24"/>
          <w:rtl/>
        </w:rPr>
        <w:t xml:space="preserve">גנאים חסין, ע' (2026א). </w:t>
      </w:r>
      <w:r>
        <w:rPr>
          <w:rFonts w:ascii="Times New Roman" w:cs="David" w:hAnsi="Times New Roman"/>
          <w:i/>
          <w:iCs/>
          <w:sz w:val="24"/>
          <w:szCs w:val="24"/>
          <w:rtl/>
        </w:rPr>
        <w:t xml:space="preserve">המשפחה הערבית בישראל</w:t>
      </w:r>
      <w:r>
        <w:rPr>
          <w:rFonts w:ascii="Times New Roman" w:cs="David" w:hAnsi="Times New Roman"/>
          <w:sz w:val="24"/>
          <w:szCs w:val="24"/>
          <w:rtl/>
        </w:rPr>
        <w:t xml:space="preserve"> [מצגת הרצאה]. הקורס ילד, משפחה וקהילה.</w:t>
      </w:r>
    </w:p>
    <w:p>
      <w:pPr>
        <w:bidi/>
        <w:spacing w:line="480" w:lineRule="auto"/>
        <w:ind w:left="709" w:hanging="709"/>
        <w:jc w:val="right"/>
      </w:pPr>
      <w:r>
        <w:rPr>
          <w:rFonts w:ascii="Times New Roman" w:cs="David" w:hAnsi="Times New Roman"/>
          <w:sz w:val="24"/>
          <w:szCs w:val="24"/>
          <w:rtl/>
        </w:rPr>
        <w:t xml:space="preserve">גנאים חסין, ע' (2026ב). </w:t>
      </w:r>
      <w:r>
        <w:rPr>
          <w:rFonts w:ascii="Times New Roman" w:cs="David" w:hAnsi="Times New Roman"/>
          <w:i/>
          <w:iCs/>
          <w:sz w:val="24"/>
          <w:szCs w:val="24"/>
          <w:rtl/>
        </w:rPr>
        <w:t xml:space="preserve">התיאוריה האקולוגית</w:t>
      </w:r>
      <w:r>
        <w:rPr>
          <w:rFonts w:ascii="Times New Roman" w:cs="David" w:hAnsi="Times New Roman"/>
          <w:sz w:val="24"/>
          <w:szCs w:val="24"/>
          <w:rtl/>
        </w:rPr>
        <w:t xml:space="preserve"> [מצגת הרצאה]. הקורס ילד, משפחה וקהילה.</w:t>
      </w:r>
    </w:p>
    <w:p>
      <w:pPr>
        <w:bidi/>
        <w:spacing w:line="480" w:lineRule="auto"/>
        <w:ind w:left="709" w:hanging="709"/>
        <w:jc w:val="right"/>
      </w:pPr>
      <w:r>
        <w:rPr>
          <w:rFonts w:ascii="Times New Roman" w:cs="David" w:hAnsi="Times New Roman"/>
          <w:sz w:val="24"/>
          <w:szCs w:val="24"/>
          <w:rtl/>
        </w:rPr>
        <w:t xml:space="preserve">לבוב, א' ואלקיים, ה' (ל.ת.). </w:t>
      </w:r>
      <w:r>
        <w:rPr>
          <w:rFonts w:ascii="Times New Roman" w:cs="David" w:hAnsi="Times New Roman"/>
          <w:i/>
          <w:iCs/>
          <w:sz w:val="24"/>
          <w:szCs w:val="24"/>
          <w:rtl/>
        </w:rPr>
        <w:t xml:space="preserve">הורות מגדלת</w:t>
      </w:r>
      <w:r>
        <w:rPr>
          <w:rFonts w:ascii="Times New Roman" w:cs="David" w:hAnsi="Times New Roman"/>
          <w:sz w:val="24"/>
          <w:szCs w:val="24"/>
          <w:rtl/>
        </w:rPr>
        <w:t xml:space="preserve">. פסיכולוגיה עברית. </w:t>
      </w:r>
      <w:r>
        <w:rPr>
          <w:rFonts w:ascii="Times New Roman" w:cs="David" w:hAnsi="Times New Roman"/>
          <w:sz w:val="24"/>
          <w:szCs w:val="24"/>
        </w:rPr>
        <w:t xml:space="preserve">https://www.hebpsy.net/articles.asp?id=4136</w:t>
      </w:r>
    </w:p>
    <w:p>
      <w:pPr>
        <w:bidi/>
        <w:spacing w:line="480" w:lineRule="auto"/>
        <w:ind w:left="709" w:hanging="709"/>
        <w:jc w:val="right"/>
      </w:pPr>
      <w:r>
        <w:rPr>
          <w:rFonts w:ascii="Times New Roman" w:cs="David" w:hAnsi="Times New Roman"/>
          <w:sz w:val="24"/>
          <w:szCs w:val="24"/>
          <w:rtl/>
        </w:rPr>
        <w:t xml:space="preserve">להד, מ' וקפלינסקי, נ' (2007). הורות בשישה ערוצים: הורים מפתחים חוסן בילדיהם. בתוך א' כהן (עורכת), </w:t>
      </w:r>
      <w:r>
        <w:rPr>
          <w:rFonts w:ascii="Times New Roman" w:cs="David" w:hAnsi="Times New Roman"/>
          <w:i/>
          <w:iCs/>
          <w:sz w:val="24"/>
          <w:szCs w:val="24"/>
          <w:rtl/>
        </w:rPr>
        <w:t xml:space="preserve">חוויית ההורות: יחסים, התמודדויות והתפתחות</w:t>
      </w:r>
      <w:r>
        <w:rPr>
          <w:rFonts w:ascii="Times New Roman" w:cs="David" w:hAnsi="Times New Roman"/>
          <w:sz w:val="24"/>
          <w:szCs w:val="24"/>
          <w:rtl/>
        </w:rPr>
        <w:t xml:space="preserve"> (עמ' 191-214). אח.</w:t>
      </w:r>
    </w:p>
    <w:p>
      <w:pPr>
        <w:bidi/>
        <w:spacing w:line="480" w:lineRule="auto"/>
        <w:ind w:left="709" w:hanging="709"/>
        <w:jc w:val="right"/>
      </w:pPr>
      <w:r>
        <w:rPr>
          <w:rFonts w:ascii="Times New Roman" w:cs="David" w:hAnsi="Times New Roman"/>
          <w:sz w:val="24"/>
          <w:szCs w:val="24"/>
          <w:rtl/>
        </w:rPr>
        <w:t xml:space="preserve">סעיד, ח' (2026). </w:t>
      </w:r>
      <w:r>
        <w:rPr>
          <w:rFonts w:ascii="Times New Roman" w:cs="David" w:hAnsi="Times New Roman"/>
          <w:i/>
          <w:iCs/>
          <w:sz w:val="24"/>
          <w:szCs w:val="24"/>
          <w:rtl/>
        </w:rPr>
        <w:t xml:space="preserve">סוכני חברות ומודל כבש"ה</w:t>
      </w:r>
      <w:r>
        <w:rPr>
          <w:rFonts w:ascii="Times New Roman" w:cs="David" w:hAnsi="Times New Roman"/>
          <w:sz w:val="24"/>
          <w:szCs w:val="24"/>
          <w:rtl/>
        </w:rPr>
        <w:t xml:space="preserve"> [מצגת הרצאה]. הקורס ילד, משפחה וקהילה.</w:t>
      </w:r>
    </w:p>
    <w:p>
      <w:pPr>
        <w:spacing w:line="480" w:lineRule="auto"/>
        <w:ind w:left="709" w:hanging="709"/>
        <w:jc w:val="left"/>
      </w:pPr>
      <w:r>
        <w:rPr>
          <w:rFonts w:ascii="Times New Roman" w:cs="David" w:hAnsi="Times New Roman"/>
          <w:sz w:val="24"/>
          <w:szCs w:val="24"/>
        </w:rPr>
        <w:t xml:space="preserve">Bronfenbrenner, U. (1979). </w:t>
      </w:r>
      <w:r>
        <w:rPr>
          <w:rFonts w:ascii="Times New Roman" w:cs="David" w:hAnsi="Times New Roman"/>
          <w:i/>
          <w:iCs/>
          <w:sz w:val="24"/>
          <w:szCs w:val="24"/>
        </w:rPr>
        <w:t xml:space="preserve">The ecology of human development: Experiments by nature and design</w:t>
      </w:r>
      <w:r>
        <w:rPr>
          <w:rFonts w:ascii="Times New Roman" w:cs="David" w:hAnsi="Times New Roman"/>
          <w:sz w:val="24"/>
          <w:szCs w:val="24"/>
        </w:rPr>
        <w:t xml:space="preserve">. Harvard University Press.</w:t>
      </w:r>
    </w:p>
    <w:p>
      <w:pPr>
        <w:spacing w:line="480" w:lineRule="auto"/>
        <w:ind w:left="709" w:hanging="709"/>
        <w:jc w:val="left"/>
      </w:pPr>
      <w:r>
        <w:rPr>
          <w:rFonts w:ascii="Times New Roman" w:cs="David" w:hAnsi="Times New Roman"/>
          <w:sz w:val="24"/>
          <w:szCs w:val="24"/>
        </w:rPr>
        <w:t xml:space="preserve">Fraiberg, S., Adelson, E., &amp; Shapiro, V. (1975). Ghosts in the nursery: A psychoanalytic approach to the problems of impaired infant-mother relationships. </w:t>
      </w:r>
      <w:r>
        <w:rPr>
          <w:rFonts w:ascii="Times New Roman" w:cs="David" w:hAnsi="Times New Roman"/>
          <w:i/>
          <w:iCs/>
          <w:sz w:val="24"/>
          <w:szCs w:val="24"/>
        </w:rPr>
        <w:t xml:space="preserve">Journal of the American Academy of Child Psychiatry, 14</w:t>
      </w:r>
      <w:r>
        <w:rPr>
          <w:rFonts w:ascii="Times New Roman" w:cs="David" w:hAnsi="Times New Roman"/>
          <w:sz w:val="24"/>
          <w:szCs w:val="24"/>
        </w:rPr>
        <w:t xml:space="preserve">(3), 387-421.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David"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bd07874049be16710f86d66a94f6c5373126a1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2026-07-30T12:39:51.955Z</dcterms:created>
  <dcterms:modified xsi:type="dcterms:W3CDTF">2026-07-30T12:39:51.955Z</dcterms:modified>
</cp:coreProperties>
</file>

<file path=docProps/custom.xml><?xml version="1.0" encoding="utf-8"?>
<Properties xmlns="http://schemas.openxmlformats.org/officeDocument/2006/custom-properties" xmlns:vt="http://schemas.openxmlformats.org/officeDocument/2006/docPropsVTypes"/>
</file>