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18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18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sdt>
      <w:sdtPr>
        <w:alias w:val="תוכן עניינים"/>
      </w:sdtPr>
      <w:sdtContent>
        <w:p>
          <w:r>
            <w:fldChar w:fldCharType="begin" w:dirty="true"/>
            <w:instrText xml:space="preserve">TOC \h \o "1-1"</w:instrText>
            <w:fldChar w:fldCharType="separate"/>
          </w:r>
        </w:p>
        <w:p>
          <w:r>
            <w:fldChar w:fldCharType="end"/>
          </w:r>
        </w:p>
      </w:sdtContent>
    </w:sdt>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הסברים פסיכולוגיים במבחן המגדר</w:t>
      </w:r>
    </w:p>
    <w:p>
      <w:pPr>
        <w:bidi/>
        <w:spacing w:after="160" w:before="0" w:line="360"/>
        <w:jc w:val="both"/>
      </w:pPr>
      <w:r>
        <w:rPr>
          <w:rFonts w:ascii="David" w:cs="David" w:eastAsia="David" w:hAnsi="David"/>
          <w:sz w:val="24"/>
          <w:szCs w:val="24"/>
          <w:rtl/>
        </w:rPr>
        <w:t xml:space="preserve">לצד ההסברים הסוציולוגיים פיתחה הקרימינולוגיה גם הסברים פסיכולוגיים לעבריינות, ואף הם קיבלו צביון מגדרי. הגישה הפסיכואנליטית המוקדמת תלתה את העבריינות בכשלים התפתחותיים של מבני האישיות ובדחפים שלא עברו עיבוד (לרנאו, 2023), ובהקשר המגדרי נטתה לראות בעבריינית מי שחרגה מתפקידה הנשי, ברוח ההסברים המהותניים שנדונו לעיל. מושג פורה יותר לענייננו הוא טכניקות הנטרול, אותן הצדקות שמספר לעצמו העבריין כדי להשתיק את קול המצפון לפני העבירה ובמהלכה (לרנאו, 2023). במבחן המגדר, הטכניקות הללו מאירות את שני צידי הפער. מצד אחד, נשים נדרשות למאמץ נטרול גדול יותר: העבירה סותרת אצלן לא רק נורמה חוקית אלא גם את הציפיות המגדריות המופנמות, ולכן קול המצפון שיש להשתיק חזק יותר. מצד שני, כאשר העבירה מבוצעת למען אחרים, כפי שקורה בשכיחות גבוהה אצל נשים, ההצדקה של הקרבה למען המשפחה זמינה וחזקה במיוחד, כפי שהודגם בפרשת אלון (יוכט, 2019). ההסבר הפסיכולוגי אינו מתחרה אפוא בהסבר החברתי אלא משלים אותו: הנורמות המגדריות פועלות גם מבפנים, דרך המצפון וההצדקות.</w:t>
      </w:r>
    </w:p>
    <w:p>
      <w:pPr>
        <w:pStyle w:val="Heading2"/>
        <w:bidi/>
        <w:spacing w:after="120" w:before="240" w:line="360"/>
        <w:jc w:val="right"/>
      </w:pPr>
      <w:r>
        <w:rPr>
          <w:rFonts w:ascii="David" w:cs="David" w:eastAsia="David" w:hAnsi="David"/>
          <w:b/>
          <w:bCs/>
          <w:color w:val="000000"/>
          <w:sz w:val="26"/>
          <w:szCs w:val="26"/>
          <w:rtl/>
        </w:rPr>
        <w:t xml:space="preserve">3.3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3.4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3.5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3.6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3.7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(Nilsson, 2017;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2"/>
        <w:bidi/>
        <w:spacing w:after="120" w:before="240" w:line="360"/>
        <w:jc w:val="right"/>
      </w:pPr>
      <w:r>
        <w:rPr>
          <w:rFonts w:ascii="David" w:cs="David" w:eastAsia="David" w:hAnsi="David"/>
          <w:b/>
          <w:bCs/>
          <w:color w:val="000000"/>
          <w:sz w:val="26"/>
          <w:szCs w:val="26"/>
          <w:rtl/>
        </w:rPr>
        <w:t xml:space="preserve">4.5 חדילה נשית מפשיעה</w:t>
      </w:r>
    </w:p>
    <w:p>
      <w:pPr>
        <w:bidi/>
        <w:spacing w:after="160" w:before="0" w:line="360"/>
        <w:jc w:val="both"/>
      </w:pPr>
      <w:r>
        <w:rPr>
          <w:rFonts w:ascii="David" w:cs="David" w:eastAsia="David" w:hAnsi="David"/>
          <w:sz w:val="24"/>
          <w:szCs w:val="24"/>
          <w:rtl/>
        </w:rPr>
        <w:t xml:space="preserve">ענף מחקר עדכני נוסף בוחן את הצד השני של המטבע: לא מדוע נשים נכנסות לעבריינות, אלא כיצד הן יוצאות ממנה. רודרמונד ועמיתיה (Rodermond et al., 2016) סקרו 44 מחקרים על חדילה נשית מפשיעה ומצאו כי התיאוריות שפותחו על גברים ישימות ברובן גם לנשים, אך משקלם של הגורמים שונה: אצל נשים בולטים במיוחד הילדים והקשרים התומכים, לצד עצמאות כלכלית, הימנעות מסמים ותחושת מסוגלות אישית. במילים אחרות, אותם גורמי קשר ומחויבות שממתנים את כניסתן של נשים לעבריינות הם גם המנוף המרכזי ליציאתן ממנה.</w:t>
      </w:r>
    </w:p>
    <w:p>
      <w:pPr>
        <w:bidi/>
        <w:spacing w:after="160" w:before="0" w:line="360"/>
        <w:jc w:val="both"/>
      </w:pPr>
      <w:r>
        <w:rPr>
          <w:rFonts w:ascii="David" w:cs="David" w:eastAsia="David" w:hAnsi="David"/>
          <w:sz w:val="24"/>
          <w:szCs w:val="24"/>
          <w:rtl/>
        </w:rPr>
        <w:t xml:space="preserve">מחקר המשך רחב היקף עקב אחר 1,478 נשים ששוחררו ממאסר בהולנד לאורך שבע שנים (Rodermond et al., 2023). ממצאיו מפכחים: תהליכי שינוי פנימיים והון חברתי אכן מקדמים חדילה, אולם מצוקת משאבים קשה לאחר השחרור, עוני, חוב והיעדר דיור, מערערת את התהליך גם אצל נשים שכבר החלו בו. ממצאים אלה מתכתבים במישרין עם שני צירים בעבודה זו: עם תפיסת התשובה שנדונה בפרק השני, הרואה בשיבה מן העבירה תהליך התלוי בקשר, בקהילה ובמשמעות, ועם ההמלצה היישומית שתפורט בפרק החמישי בדבר שיקום מגדרי-רגיש המלווה גם בתמיכה חומרית.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ההבדלים בין הגישות: נקודות מחלוקת והערכה ביקורתית</w:t>
      </w:r>
    </w:p>
    <w:p>
      <w:pPr>
        <w:bidi/>
        <w:spacing w:after="160" w:before="0" w:line="360"/>
        <w:jc w:val="both"/>
      </w:pPr>
      <w:r>
        <w:rPr>
          <w:rFonts w:ascii="David" w:cs="David" w:eastAsia="David" w:hAnsi="David"/>
          <w:sz w:val="24"/>
          <w:szCs w:val="24"/>
          <w:rtl/>
        </w:rPr>
        <w:t xml:space="preserve">קודם לבחינת המתחים, נדרש מיפוי של ההבדלים היסודיים בין שתי הגישות, בשלושה ממדים. בממד תמונת העבריינית: הקרימינולוגיה המודרנית רואה בה בראש ובראשונה תוצר של נסיבות, מבנים והזדמנויות, ואילו היהדות רואה בה סובייקט מוסרי בעל בחירה, שנסיבותיו מקילות אך אינן פוטרות. בממד יחידת הניתוח: הקרימינולוגיה מנתחת אוכלוסיות, שיעורים ומגמות, והיהדות מתבוננת בנפש היחיד ובקהילה המקיפה אותה. בממד תכלית התגובה לעבירה: הקרימינולוגיה שואפת להסביר, לנבא ולמנוע, ואילו היהדות שואפת לתקן, להשיב את החוטאת בתשובה ולרפא את הקרע החברתי שיצרה העבירה (בן יאיר, 2021; Ben Yair, 2021). הבדלים אלה אינם סותרים את נקודות המפגש שנסקרו לעיל אלא מסבירים את מקורן: שתי המערכות מגיעות למנגנונים דומים מתוך נקודות מוצא שונות בתכלית, וההבדלים הם שמזינים את המתחים שיוצגו כעת.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שהוצבה במבוא, מדוע נשים עוברות פחות עבירות מגברים וכיצד מוסבר הפער המגדרי בגישת היהדות לעומת הגישות בקרימינולוגיה, זכתה בעבודה זו לתשובה כפולה ומצטלבת. מצד הקרימינולוגיה, העבודה הראתה כי ההסברים העמידים ביותר אינם ביולוגיים אלא חברתיים: חיברות מגדרי המכוון בנות לריסון ולאחריות בין-אישית, פיקוח חברתי בלתי פורמלי דיפרנציאלי המצמצם את הזדמנויות העבירה שלהן, ועיבוד שונה של מצוקה, המופנה פנימה ולא החוצה. הממצאים העדכניים שנסקרו בפרק הרביעי חיזקו תמונה זו מכיוונים שונים: משתני משפחה מסבירים חלק מן הפער (Nilsson, 2017), הפער רחב יותר במדינות פטריארכליות ומתכווץ עם השוויון (Savolainen et al., 2017), והצטמצמותו במערב נובעת בעיקר מירידה בעבריינות גברים ומהרחבת רשת האכיפה, ולא משחרור הנשים (Estrada et al., 2016).</w:t>
      </w:r>
    </w:p>
    <w:p>
      <w:pPr>
        <w:bidi/>
        <w:spacing w:after="160" w:before="0" w:line="360"/>
        <w:jc w:val="both"/>
      </w:pPr>
      <w:r>
        <w:rPr>
          <w:rFonts w:ascii="David" w:cs="David" w:eastAsia="David" w:hAnsi="David"/>
          <w:sz w:val="24"/>
          <w:szCs w:val="24"/>
          <w:rtl/>
        </w:rPr>
        <w:t xml:space="preserve">מצד היהדות, העבודה הראתה כי המשפט העברי העמיד את האישה כסובייקט מוסרי שווה-אחריות מאות שנים לפני שהקרימינולוגיה המדעית נפרדה מהסבריה המהותניים, וכי המסורת מסבירה את מיעוט העבירה הנשית באמצעות אותם מנגנונים עצמם, בלבוש נורמטיבי: צניעות כתיחום זירות, קהילה כפיקוח, "בינה יתרה" כחוסן מוסרי, והרחבת גישה לצדק כמניעת עבריינות. ההשוואה מלמדת אפוא כי שתי מערכות הידע, שצמחו במרחק אלפי שנים זו מזו, זיהו את אותה אמת חברתית יסודית: העבירה משגשגת במרחבי הפקרות, והיא נבלמת בקשר, במחויבות ובמשמעות.</w:t>
      </w:r>
    </w:p>
    <w:p>
      <w:pPr>
        <w:bidi/>
        <w:spacing w:after="160" w:before="0" w:line="360"/>
        <w:jc w:val="both"/>
      </w:pPr>
      <w:r>
        <w:rPr>
          <w:rFonts w:ascii="David" w:cs="David" w:eastAsia="David" w:hAnsi="David"/>
          <w:sz w:val="24"/>
          <w:szCs w:val="24"/>
          <w:rtl/>
        </w:rPr>
        <w:t xml:space="preserve">מן המסקנות נגזרות שלוש המלצות יישומיות. ראשית, בתחום השיקום: מערך הטיפול בכלואות בישראל, המרוכז בנווה תרצה, ראוי שיכלול מיפוי שיטתי של היסטוריית קורבנות בקבלת כל אסירה, ותוכניות שיקום מגדריות-רגישות המשלבות רכיבי משמעות, קהילה ותיקון ברוח הקרימינולוגיה החיובית והרוחנית, שהראו תוצאות מבטיחות בקרב נשים (בן יאיר, 2021; יכימוביץ-כהן, 2017; Eytan &amp; Ronel, 2023). שנית, בתחום המניעה: הואיל ועבירות רבות של נשים צומחות מחסימת גישה לצדק ולאמצעים לגיטימיים, הרחבת הסיוע המשפטי והחברתי לנשים במצוקה היא כלי מניעת עבריינות ישיר, מסקנה שהעבודה הראתה כי היא מעוגנת כבר בקריאה המקראית (ברק-ארז, 2023). שלישית, בתחום האכיפה: על קובעי המדיניות להיזהר מהרחבת רשת ענישה על עבירות קלות של נשים מוחלשות, שכן הניסיון הבין-לאומי מלמד שכך נוצרת "התכנסות מגדרית" מדומה שמחירה מוטל על החלשות ביותר (Estrada et al., 2016; Sela-Shayovitz, 2017).</w:t>
      </w:r>
    </w:p>
    <w:p>
      <w:pPr>
        <w:bidi/>
        <w:spacing w:after="160" w:before="0" w:line="360"/>
        <w:jc w:val="both"/>
      </w:pPr>
      <w:r>
        <w:rPr>
          <w:rFonts w:ascii="David" w:cs="David" w:eastAsia="David" w:hAnsi="David"/>
          <w:sz w:val="24"/>
          <w:szCs w:val="24"/>
          <w:rtl/>
        </w:rPr>
        <w:t xml:space="preserve">בשורה התחתונה, ההשוואה בין היהדות לקרימינולוגיה אינה רק מפגש בין עבר להווה אלא גם אזהרה הדדית. מנגנוני מגן מגדריים גובים מחיר של חירות, והיחלשותם אינה מבטיחה שוויון מיטיב אלא עלולה להפקיר את הנשים הפגיעות ביותר. 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w:t>
      </w:r>
      <w:r>
        <w:rPr>
          <w:rFonts w:ascii="David" w:cs="David" w:eastAsia="David" w:hAnsi="David"/>
          <w:b/>
          <w:bCs/>
          <w:sz w:val="24"/>
          <w:szCs w:val="24"/>
          <w:rtl/>
        </w:rPr>
        <w:t xml:space="preserve">סוגיות חברתיות בישראל, 30</w:t>
      </w:r>
      <w:r>
        <w:rPr>
          <w:rFonts w:ascii="David" w:cs="David" w:eastAsia="David" w:hAnsi="David"/>
          <w:sz w:val="24"/>
          <w:szCs w:val="24"/>
          <w:rtl/>
        </w:rPr>
        <w:t xml:space="preserve">(2),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w:t>
      </w:r>
      <w:r>
        <w:rPr>
          <w:rFonts w:ascii="David" w:cs="David" w:eastAsia="David" w:hAnsi="David"/>
          <w:b/>
          <w:bCs/>
          <w:sz w:val="24"/>
          <w:szCs w:val="24"/>
          <w:rtl/>
        </w:rPr>
        <w:t xml:space="preserve">משפט וממשל, כה</w:t>
      </w:r>
      <w:r>
        <w:rPr>
          <w:rFonts w:ascii="David" w:cs="David" w:eastAsia="David" w:hAnsi="David"/>
          <w:sz w:val="24"/>
          <w:szCs w:val="24"/>
          <w:rtl/>
        </w:rPr>
        <w:t xml:space="preserve">,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w:t>
      </w:r>
      <w:r>
        <w:rPr>
          <w:rFonts w:ascii="David" w:cs="David" w:eastAsia="David" w:hAnsi="David"/>
          <w:b/>
          <w:bCs/>
          <w:sz w:val="24"/>
          <w:szCs w:val="24"/>
          <w:rtl/>
        </w:rPr>
        <w:t xml:space="preserve">משפטים, מט</w:t>
      </w:r>
      <w:r>
        <w:rPr>
          <w:rFonts w:ascii="David" w:cs="David" w:eastAsia="David" w:hAnsi="David"/>
          <w:sz w:val="24"/>
          <w:szCs w:val="24"/>
          <w:rtl/>
        </w:rPr>
        <w:t xml:space="preserve">, 673-619.</w:t>
      </w:r>
    </w:p>
    <w:p>
      <w:pPr>
        <w:bidi/>
        <w:spacing w:after="160" w:line="360"/>
        <w:ind w:left="709" w:hanging="709"/>
        <w:jc w:val="right"/>
      </w:pPr>
      <w:r>
        <w:rPr>
          <w:rFonts w:ascii="David" w:cs="David" w:eastAsia="David" w:hAnsi="David"/>
          <w:sz w:val="24"/>
          <w:szCs w:val="24"/>
          <w:rtl/>
        </w:rPr>
        <w:t xml:space="preserve">יכימוביץ-כהן, נ' (2017). </w:t>
      </w:r>
      <w:r>
        <w:rPr>
          <w:rFonts w:ascii="David" w:cs="David" w:eastAsia="David" w:hAnsi="David"/>
          <w:b/>
          <w:bCs/>
          <w:sz w:val="24"/>
          <w:szCs w:val="24"/>
          <w:rtl/>
        </w:rPr>
        <w:t xml:space="preserve">היבטים בכליאת נשים בישראל</w:t>
      </w:r>
      <w:r>
        <w:rPr>
          <w:rFonts w:ascii="David" w:cs="David" w:eastAsia="David" w:hAnsi="David"/>
          <w:sz w:val="24"/>
          <w:szCs w:val="24"/>
          <w:rtl/>
        </w:rPr>
        <w:t xml:space="preserve">.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w:t>
      </w:r>
      <w:r>
        <w:rPr>
          <w:rFonts w:ascii="David" w:cs="David" w:eastAsia="David" w:hAnsi="David"/>
          <w:b/>
          <w:bCs/>
          <w:sz w:val="24"/>
          <w:szCs w:val="24"/>
          <w:rtl/>
        </w:rPr>
        <w:t xml:space="preserve">משטרה והיסטוריה, 3</w:t>
      </w:r>
      <w:r>
        <w:rPr>
          <w:rFonts w:ascii="David" w:cs="David" w:eastAsia="David" w:hAnsi="David"/>
          <w:sz w:val="24"/>
          <w:szCs w:val="24"/>
          <w:rtl/>
        </w:rPr>
        <w:t xml:space="preserve">, 154-109.</w:t>
      </w:r>
    </w:p>
    <w:p>
      <w:pPr>
        <w:bidi/>
        <w:spacing w:after="160" w:line="360"/>
        <w:ind w:left="709" w:hanging="709"/>
        <w:jc w:val="right"/>
      </w:pPr>
      <w:r>
        <w:rPr>
          <w:rFonts w:ascii="David" w:cs="David" w:eastAsia="David" w:hAnsi="David"/>
          <w:sz w:val="24"/>
          <w:szCs w:val="24"/>
          <w:rtl/>
        </w:rPr>
        <w:t xml:space="preserve">לרנאו, ח' (2023). </w:t>
      </w:r>
      <w:r>
        <w:rPr>
          <w:rFonts w:ascii="David" w:cs="David" w:eastAsia="David" w:hAnsi="David"/>
          <w:b/>
          <w:bCs/>
          <w:sz w:val="24"/>
          <w:szCs w:val="24"/>
          <w:rtl/>
        </w:rPr>
        <w:t xml:space="preserve">עבריינות ואכיפת החוק: תיאוריה, מדיניות וביקורת</w:t>
      </w:r>
      <w:r>
        <w:rPr>
          <w:rFonts w:ascii="David" w:cs="David" w:eastAsia="David" w:hAnsi="David"/>
          <w:sz w:val="24"/>
          <w:szCs w:val="24"/>
          <w:rtl/>
        </w:rPr>
        <w:t xml:space="preserve">. פרדס.</w:t>
      </w:r>
    </w:p>
    <w:p>
      <w:pPr>
        <w:bidi/>
        <w:spacing w:after="160" w:line="360"/>
        <w:ind w:left="709" w:hanging="709"/>
        <w:jc w:val="right"/>
      </w:pPr>
      <w:r>
        <w:rPr>
          <w:rFonts w:ascii="David" w:cs="David" w:eastAsia="David" w:hAnsi="David"/>
          <w:sz w:val="24"/>
          <w:szCs w:val="24"/>
          <w:rtl/>
        </w:rPr>
        <w:t xml:space="preserve">פרישטוק, מ' (2019). </w:t>
      </w:r>
      <w:r>
        <w:rPr>
          <w:rFonts w:ascii="David" w:cs="David" w:eastAsia="David" w:hAnsi="David"/>
          <w:b/>
          <w:bCs/>
          <w:sz w:val="24"/>
          <w:szCs w:val="24"/>
          <w:rtl/>
        </w:rPr>
        <w:t xml:space="preserve">ויקטימולוגיה ויהדות: תיאוריה, טיפולוגיה, טיפול, מדיניות ויישום</w:t>
      </w:r>
      <w:r>
        <w:rPr>
          <w:rFonts w:ascii="David" w:cs="David" w:eastAsia="David" w:hAnsi="David"/>
          <w:sz w:val="24"/>
          <w:szCs w:val="24"/>
          <w:rtl/>
        </w:rPr>
        <w:t xml:space="preserve">.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w:t>
      </w:r>
      <w:r>
        <w:rPr>
          <w:rFonts w:ascii="David" w:cs="David" w:eastAsia="David" w:hAnsi="David"/>
          <w:b/>
          <w:bCs/>
          <w:sz w:val="24"/>
          <w:szCs w:val="24"/>
          <w:rtl/>
        </w:rPr>
        <w:t xml:space="preserve">דפים לחקר השואה, לו</w:t>
      </w:r>
      <w:r>
        <w:rPr>
          <w:rFonts w:ascii="David" w:cs="David" w:eastAsia="David" w:hAnsi="David"/>
          <w:sz w:val="24"/>
          <w:szCs w:val="24"/>
          <w:rtl/>
        </w:rPr>
        <w:t xml:space="preserve">,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w:t>
      </w:r>
      <w:r>
        <w:rPr>
          <w:rFonts w:ascii="Times New Roman" w:cs="Times New Roman" w:eastAsia="Times New Roman" w:hAnsi="Times New Roman"/>
          <w:i/>
          <w:iCs/>
          <w:sz w:val="24"/>
          <w:szCs w:val="24"/>
        </w:rPr>
        <w:t xml:space="preserve">Sociology of Religion, 78</w:t>
      </w:r>
      <w:r>
        <w:rPr>
          <w:rFonts w:ascii="Times New Roman" w:cs="Times New Roman" w:eastAsia="Times New Roman" w:hAnsi="Times New Roman"/>
          <w:sz w:val="24"/>
          <w:szCs w:val="24"/>
        </w:rPr>
        <w:t xml:space="preserve">(2),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w:t>
      </w:r>
      <w:r>
        <w:rPr>
          <w:rFonts w:ascii="Times New Roman" w:cs="Times New Roman" w:eastAsia="Times New Roman" w:hAnsi="Times New Roman"/>
          <w:i/>
          <w:iCs/>
          <w:sz w:val="24"/>
          <w:szCs w:val="24"/>
        </w:rPr>
        <w:t xml:space="preserve">European Economic Review, 109</w:t>
      </w:r>
      <w:r>
        <w:rPr>
          <w:rFonts w:ascii="Times New Roman" w:cs="Times New Roman" w:eastAsia="Times New Roman" w:hAnsi="Times New Roman"/>
          <w:sz w:val="24"/>
          <w:szCs w:val="24"/>
        </w:rPr>
        <w:t xml:space="preserve">,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w:t>
      </w:r>
      <w:r>
        <w:rPr>
          <w:rFonts w:ascii="Times New Roman" w:cs="Times New Roman" w:eastAsia="Times New Roman" w:hAnsi="Times New Roman"/>
          <w:i/>
          <w:iCs/>
          <w:sz w:val="24"/>
          <w:szCs w:val="24"/>
        </w:rPr>
        <w:t xml:space="preserve">Journal of Offender Rehabilitation, 60</w:t>
      </w:r>
      <w:r>
        <w:rPr>
          <w:rFonts w:ascii="Times New Roman" w:cs="Times New Roman" w:eastAsia="Times New Roman" w:hAnsi="Times New Roman"/>
          <w:sz w:val="24"/>
          <w:szCs w:val="24"/>
        </w:rPr>
        <w:t xml:space="preserve">(1),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w:t>
      </w:r>
      <w:r>
        <w:rPr>
          <w:rFonts w:ascii="Times New Roman" w:cs="Times New Roman" w:eastAsia="Times New Roman" w:hAnsi="Times New Roman"/>
          <w:i/>
          <w:iCs/>
          <w:sz w:val="24"/>
          <w:szCs w:val="24"/>
        </w:rPr>
        <w:t xml:space="preserve">IZA World of Labor, 105</w:t>
      </w:r>
      <w:r>
        <w:rPr>
          <w:rFonts w:ascii="Times New Roman" w:cs="Times New Roman" w:eastAsia="Times New Roman" w:hAnsi="Times New Roman"/>
          <w:sz w:val="24"/>
          <w:szCs w:val="24"/>
        </w:rPr>
        <w:t xml:space="preserve">(2),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w:t>
      </w:r>
      <w:r>
        <w:rPr>
          <w:rFonts w:ascii="Times New Roman" w:cs="Times New Roman" w:eastAsia="Times New Roman" w:hAnsi="Times New Roman"/>
          <w:i/>
          <w:iCs/>
          <w:sz w:val="24"/>
          <w:szCs w:val="24"/>
        </w:rPr>
        <w:t xml:space="preserve">British Journal of Criminology, 56</w:t>
      </w:r>
      <w:r>
        <w:rPr>
          <w:rFonts w:ascii="Times New Roman" w:cs="Times New Roman" w:eastAsia="Times New Roman" w:hAnsi="Times New Roman"/>
          <w:sz w:val="24"/>
          <w:szCs w:val="24"/>
        </w:rPr>
        <w:t xml:space="preserve">(6),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w:t>
      </w:r>
      <w:r>
        <w:rPr>
          <w:rFonts w:ascii="Times New Roman" w:cs="Times New Roman" w:eastAsia="Times New Roman" w:hAnsi="Times New Roman"/>
          <w:i/>
          <w:iCs/>
          <w:sz w:val="24"/>
          <w:szCs w:val="24"/>
        </w:rPr>
        <w:t xml:space="preserve">Journal of Interpersonal Violence, 38</w:t>
      </w:r>
      <w:r>
        <w:rPr>
          <w:rFonts w:ascii="Times New Roman" w:cs="Times New Roman" w:eastAsia="Times New Roman" w:hAnsi="Times New Roman"/>
          <w:sz w:val="24"/>
          <w:szCs w:val="24"/>
        </w:rPr>
        <w:t xml:space="preserve">(11-12),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w:t>
      </w:r>
      <w:r>
        <w:rPr>
          <w:rFonts w:ascii="Times New Roman" w:cs="Times New Roman" w:eastAsia="Times New Roman" w:hAnsi="Times New Roman"/>
          <w:i/>
          <w:iCs/>
          <w:sz w:val="24"/>
          <w:szCs w:val="24"/>
        </w:rPr>
        <w:t xml:space="preserve">Feminist Criminology, 11</w:t>
      </w:r>
      <w:r>
        <w:rPr>
          <w:rFonts w:ascii="Times New Roman" w:cs="Times New Roman" w:eastAsia="Times New Roman" w:hAnsi="Times New Roman"/>
          <w:sz w:val="24"/>
          <w:szCs w:val="24"/>
        </w:rPr>
        <w:t xml:space="preserve">(4),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w:t>
      </w:r>
      <w:r>
        <w:rPr>
          <w:rFonts w:ascii="Times New Roman" w:cs="Times New Roman" w:eastAsia="Times New Roman" w:hAnsi="Times New Roman"/>
          <w:i/>
          <w:iCs/>
          <w:sz w:val="24"/>
          <w:szCs w:val="24"/>
        </w:rPr>
        <w:t xml:space="preserve">Child Indicators Research, 10</w:t>
      </w:r>
      <w:r>
        <w:rPr>
          <w:rFonts w:ascii="Times New Roman" w:cs="Times New Roman" w:eastAsia="Times New Roman" w:hAnsi="Times New Roman"/>
          <w:sz w:val="24"/>
          <w:szCs w:val="24"/>
        </w:rPr>
        <w:t xml:space="preserve">(4),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Rodermond, E., Kruttschnitt, C., Slotboom, A.-M., &amp; Bijleveld, C. C. J. H. (2016). Female desistance: A review of the literature. </w:t>
      </w:r>
      <w:r>
        <w:rPr>
          <w:rFonts w:ascii="Times New Roman" w:cs="Times New Roman" w:eastAsia="Times New Roman" w:hAnsi="Times New Roman"/>
          <w:i/>
          <w:iCs/>
          <w:sz w:val="24"/>
          <w:szCs w:val="24"/>
        </w:rPr>
        <w:t xml:space="preserve">European Journal of Criminology, 13</w:t>
      </w:r>
      <w:r>
        <w:rPr>
          <w:rFonts w:ascii="Times New Roman" w:cs="Times New Roman" w:eastAsia="Times New Roman" w:hAnsi="Times New Roman"/>
          <w:sz w:val="24"/>
          <w:szCs w:val="24"/>
        </w:rPr>
        <w:t xml:space="preserve">(1), 3-28. https://doi.org/10.1177/1477370815597251</w:t>
      </w:r>
    </w:p>
    <w:p>
      <w:pPr>
        <w:bidi w:val="false"/>
        <w:spacing w:after="160" w:line="360"/>
        <w:ind w:left="709" w:hanging="709"/>
        <w:jc w:val="left"/>
      </w:pPr>
      <w:r>
        <w:rPr>
          <w:rFonts w:ascii="Times New Roman" w:cs="Times New Roman" w:eastAsia="Times New Roman" w:hAnsi="Times New Roman"/>
          <w:sz w:val="24"/>
          <w:szCs w:val="24"/>
        </w:rPr>
        <w:t xml:space="preserve">Rodermond, E., Van de Weijer, S., Lindegaard, M. R., Bijleveld, C. C. J. H., Slotboom, A.-M., &amp; Kruttschnitt, C. (2023). Out of prison, out of crime? The complex interplay between the process of desistance and severe resource disadvantages in women's post-release lives. </w:t>
      </w:r>
      <w:r>
        <w:rPr>
          <w:rFonts w:ascii="Times New Roman" w:cs="Times New Roman" w:eastAsia="Times New Roman" w:hAnsi="Times New Roman"/>
          <w:i/>
          <w:iCs/>
          <w:sz w:val="24"/>
          <w:szCs w:val="24"/>
        </w:rPr>
        <w:t xml:space="preserve">European Journal of Criminology, 20</w:t>
      </w:r>
      <w:r>
        <w:rPr>
          <w:rFonts w:ascii="Times New Roman" w:cs="Times New Roman" w:eastAsia="Times New Roman" w:hAnsi="Times New Roman"/>
          <w:sz w:val="24"/>
          <w:szCs w:val="24"/>
        </w:rPr>
        <w:t xml:space="preserve">(6), 1852-1877. https://doi.org/10.1177/14773708221097667</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w:t>
      </w:r>
      <w:r>
        <w:rPr>
          <w:rFonts w:ascii="Times New Roman" w:cs="Times New Roman" w:eastAsia="Times New Roman" w:hAnsi="Times New Roman"/>
          <w:i/>
          <w:iCs/>
          <w:sz w:val="24"/>
          <w:szCs w:val="24"/>
        </w:rPr>
        <w:t xml:space="preserve">Criminology, 55</w:t>
      </w:r>
      <w:r>
        <w:rPr>
          <w:rFonts w:ascii="Times New Roman" w:cs="Times New Roman" w:eastAsia="Times New Roman" w:hAnsi="Times New Roman"/>
          <w:sz w:val="24"/>
          <w:szCs w:val="24"/>
        </w:rPr>
        <w:t xml:space="preserve">(4),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w:t>
      </w:r>
      <w:r>
        <w:rPr>
          <w:rFonts w:ascii="Times New Roman" w:cs="Times New Roman" w:eastAsia="Times New Roman" w:hAnsi="Times New Roman"/>
          <w:i/>
          <w:iCs/>
          <w:sz w:val="24"/>
          <w:szCs w:val="24"/>
        </w:rPr>
        <w:t xml:space="preserve">Journal of Social Science Studies, 4</w:t>
      </w:r>
      <w:r>
        <w:rPr>
          <w:rFonts w:ascii="Times New Roman" w:cs="Times New Roman" w:eastAsia="Times New Roman" w:hAnsi="Times New Roman"/>
          <w:sz w:val="24"/>
          <w:szCs w:val="24"/>
        </w:rPr>
        <w:t xml:space="preserve">(2),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w:t>
      </w:r>
      <w:r>
        <w:rPr>
          <w:rFonts w:ascii="Times New Roman" w:cs="Times New Roman" w:eastAsia="Times New Roman" w:hAnsi="Times New Roman"/>
          <w:i/>
          <w:iCs/>
          <w:sz w:val="24"/>
          <w:szCs w:val="24"/>
        </w:rPr>
        <w:t xml:space="preserve">Crime and Justice, 53</w:t>
      </w:r>
      <w:r>
        <w:rPr>
          <w:rFonts w:ascii="Times New Roman" w:cs="Times New Roman" w:eastAsia="Times New Roman" w:hAnsi="Times New Roman"/>
          <w:sz w:val="24"/>
          <w:szCs w:val="24"/>
        </w:rPr>
        <w:t xml:space="preserve">(1).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2026-08-22T07:35:43.814Z</dcterms:created>
  <dcterms:modified xsi:type="dcterms:W3CDTF">2026-08-22T07:35:43.814Z</dcterms:modified>
</cp:coreProperties>
</file>

<file path=docProps/custom.xml><?xml version="1.0" encoding="utf-8"?>
<Properties xmlns="http://schemas.openxmlformats.org/officeDocument/2006/custom-properties" xmlns:vt="http://schemas.openxmlformats.org/officeDocument/2006/docPropsVTypes"/>
</file>