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p>
    <w:p>
      <w:pPr>
        <w:spacing w:line="360" w:lineRule="auto"/>
      </w:pPr>
    </w:p>
    <w:p>
      <w:pPr>
        <w:spacing w:line="360" w:lineRule="auto"/>
      </w:pPr>
    </w:p>
    <w:p>
      <w:pPr>
        <w:spacing w:line="360" w:lineRule="auto"/>
        <w:jc w:val="center"/>
      </w:pPr>
      <w:r>
        <w:rPr>
          <w:rFonts w:ascii="Times New Roman" w:hAnsi="Times New Roman"/>
          <w:b/>
          <w:sz w:val="24"/>
        </w:rPr>
        <w:t>Appearance, Judgment, and Human Dignity: Three Themes in Somerset Maugham’s “Mr. Know-All”</w:t>
      </w:r>
    </w:p>
    <w:p>
      <w:pPr>
        <w:spacing w:line="360" w:lineRule="auto"/>
      </w:pPr>
    </w:p>
    <w:p>
      <w:pPr>
        <w:spacing w:line="360" w:lineRule="auto"/>
        <w:jc w:val="center"/>
      </w:pPr>
      <w:r>
        <w:rPr>
          <w:rFonts w:ascii="Times New Roman" w:hAnsi="Times New Roman"/>
          <w:sz w:val="24"/>
        </w:rPr>
        <w:t>[Student Name]</w:t>
      </w:r>
    </w:p>
    <w:p>
      <w:pPr>
        <w:spacing w:line="360" w:lineRule="auto"/>
        <w:jc w:val="center"/>
      </w:pPr>
      <w:r>
        <w:rPr>
          <w:rFonts w:ascii="Times New Roman" w:hAnsi="Times New Roman"/>
          <w:sz w:val="24"/>
        </w:rPr>
        <w:t>[Department], [University]</w:t>
      </w:r>
    </w:p>
    <w:p>
      <w:pPr>
        <w:spacing w:line="360" w:lineRule="auto"/>
        <w:jc w:val="center"/>
      </w:pPr>
      <w:r>
        <w:rPr>
          <w:rFonts w:ascii="Times New Roman" w:hAnsi="Times New Roman"/>
          <w:sz w:val="24"/>
        </w:rPr>
        <w:t>[Course Number]: [Course Name]</w:t>
      </w:r>
    </w:p>
    <w:p>
      <w:pPr>
        <w:spacing w:line="360" w:lineRule="auto"/>
        <w:jc w:val="center"/>
      </w:pPr>
      <w:r>
        <w:rPr>
          <w:rFonts w:ascii="Times New Roman" w:hAnsi="Times New Roman"/>
          <w:sz w:val="24"/>
        </w:rPr>
        <w:t>[Instructor Name]</w:t>
      </w:r>
    </w:p>
    <w:p>
      <w:pPr>
        <w:spacing w:line="360" w:lineRule="auto"/>
        <w:jc w:val="center"/>
      </w:pPr>
      <w:r>
        <w:rPr>
          <w:rFonts w:ascii="Times New Roman" w:hAnsi="Times New Roman"/>
          <w:sz w:val="24"/>
        </w:rPr>
        <w:t>July 13, 2026</w:t>
      </w:r>
    </w:p>
    <w:p>
      <w:r>
        <w:br w:type="page"/>
      </w:r>
    </w:p>
    <w:p>
      <w:pPr>
        <w:spacing w:line="360" w:lineRule="auto"/>
        <w:jc w:val="center"/>
      </w:pPr>
      <w:r>
        <w:rPr>
          <w:rFonts w:ascii="Times New Roman" w:hAnsi="Times New Roman"/>
          <w:b/>
          <w:sz w:val="24"/>
        </w:rPr>
        <w:t>Abstract</w:t>
      </w:r>
    </w:p>
    <w:p>
      <w:pPr>
        <w:spacing w:line="360" w:lineRule="auto" w:after="120"/>
        <w:ind w:firstLine="0"/>
        <w:jc w:val="both"/>
      </w:pPr>
      <w:r>
        <w:rPr>
          <w:rFonts w:ascii="Times New Roman" w:hAnsi="Times New Roman"/>
          <w:sz w:val="24"/>
        </w:rPr>
        <w:t>This paper reads Somerset Maugham’s short story “Mr. Know-All” (1936) through three linked themes: the reflex of judgment, the recognition of human dignity, and the gap between appearance and reality. It argues that the three are not separate topics but one arc, the education of a prejudiced eye. Drawing on the psychology of prejudice (Allport, Kahneman), postcolonial accounts of the racializing gaze (Said, Fanon), the ethics of narrative fiction (Nussbaum, Booth), and Aristotle’s and Kant’s vocabulary of recognition and dignity, the analysis shows how Maugham locks the reader inside a narrator whose confident verdict on Max Kelada is wrong, so that the reader first shares the prejudice and then, through the pearl episode, unlearns it. The paper closes on how the story might be taught.</w:t>
      </w:r>
    </w:p>
    <w:p>
      <w:pPr>
        <w:spacing w:line="360" w:lineRule="auto"/>
        <w:ind w:firstLine="0"/>
        <w:jc w:val="both"/>
      </w:pPr>
      <w:r>
        <w:rPr>
          <w:rFonts w:ascii="Times New Roman" w:hAnsi="Times New Roman"/>
          <w:i/>
          <w:sz w:val="24"/>
        </w:rPr>
        <w:t xml:space="preserve">Keywords: </w:t>
      </w:r>
      <w:r>
        <w:rPr>
          <w:rFonts w:ascii="Times New Roman" w:hAnsi="Times New Roman"/>
          <w:sz w:val="24"/>
        </w:rPr>
        <w:t>prejudice, human dignity, appearance and reality, point of view, Somerset Maugham, short fiction</w:t>
      </w:r>
    </w:p>
    <w:p>
      <w:r>
        <w:br w:type="page"/>
      </w:r>
    </w:p>
    <w:p>
      <w:pPr>
        <w:spacing w:line="360" w:lineRule="auto"/>
        <w:jc w:val="center"/>
      </w:pPr>
      <w:r>
        <w:rPr>
          <w:rFonts w:ascii="Times New Roman" w:hAnsi="Times New Roman"/>
          <w:b/>
          <w:sz w:val="24"/>
        </w:rPr>
        <w:t>Appearance, Judgment, and Human Dignity: Three Themes in Somerset Maugham’s “Mr. Know-All”</w:t>
      </w:r>
    </w:p>
    <w:p>
      <w:pPr>
        <w:pStyle w:val="Heading1"/>
      </w:pPr>
      <w:r>
        <w:t>Introduction</w:t>
      </w:r>
    </w:p>
    <w:p>
      <w:pPr>
        <w:spacing w:line="360" w:lineRule="auto" w:after="120"/>
        <w:ind w:firstLine="0"/>
        <w:jc w:val="both"/>
      </w:pPr>
      <w:r>
        <w:rPr>
          <w:rFonts w:ascii="Times New Roman" w:hAnsi="Times New Roman"/>
          <w:sz w:val="24"/>
        </w:rPr>
        <w:t>We decide whether we like a stranger long before we have any fair reason to. A name on a suitcase, an accent, the shape of a nose, and the verdict is already in. Gordon Allport built his study of prejudice on this fact, defining it as an attitude that arrives first and then hunts for reasons to justify itself (Allport, 1954/1979). Daniel Kahneman gave the same reflex a mechanism: a fast, automatic mind that leaps to conclusions and a slow one that rarely checks them (Kahneman, 2011). Somerset Maugham’s “Mr. Know-All” (1936) is a small, sharp fiction about exactly this. An English narrator shares a ship’s cabin with a loud fellow passenger, Max Kelada, decides on sight that he cannot stand him, and is proven wrong when Kelada quietly sacrifices his own pride to save a stranger’s marriage.</w:t>
      </w:r>
    </w:p>
    <w:p>
      <w:pPr>
        <w:spacing w:line="360" w:lineRule="auto" w:after="120"/>
        <w:ind w:firstLine="0"/>
        <w:jc w:val="both"/>
      </w:pPr>
      <w:r>
        <w:rPr>
          <w:rFonts w:ascii="Times New Roman" w:hAnsi="Times New Roman"/>
          <w:sz w:val="24"/>
        </w:rPr>
        <w:t>What makes the story more than an anecdote is how it is told. Maugham does not describe prejudice from the outside and ask us to disapprove. He seals us inside a prejudiced point of view and lets us feel the judgment from within, so that when it collapses, the collapse is ours too. This is the moral work Martha Nussbaum attributes to fiction, the way a story trains the reader to inhabit a consciousness not their own (Nussbaum, 1995). This paper reads the story through three themes that are really three stages of a single movement: judgment, human dignity, and the gap between appearance and reality. Together they trace the education of a prejudiced eye, and the eye that learns, too late to be proud of it, belongs as much to the reader as to the narrator.</w:t>
      </w:r>
    </w:p>
    <w:p>
      <w:pPr>
        <w:spacing w:line="360" w:lineRule="auto" w:after="120"/>
        <w:ind w:firstLine="0"/>
        <w:jc w:val="both"/>
      </w:pPr>
      <w:r>
        <w:rPr>
          <w:rFonts w:ascii="Times New Roman" w:hAnsi="Times New Roman"/>
          <w:sz w:val="24"/>
        </w:rPr>
        <w:t>The setting is chosen to sharpen all three. The action unfolds aboard a liner crossing from San Francisco to Yokohama in the crowded traffic just after the war (Maugham, 1936), a closed world where no one can walk away, the same faces meet at the same table, and strangers are pressed into a forced intimacy that the narrator and Kelada feel most, sharing a cabin they did not choose. A ship is exactly the place where prejudice hardens: proximity without knowledge, and an audience always present to witness and to judge. It is also a space between two ports and two continents, which suits a story about a man whose identity refuses to sit inside the category the narrator wants to assign him.</w:t>
      </w:r>
    </w:p>
    <w:p>
      <w:pPr>
        <w:pStyle w:val="Heading1"/>
      </w:pPr>
      <w:r>
        <w:t>Theme One. Judgment</w:t>
      </w:r>
    </w:p>
    <w:p>
      <w:pPr>
        <w:spacing w:line="360" w:lineRule="auto" w:after="120"/>
        <w:ind w:firstLine="0"/>
        <w:jc w:val="both"/>
      </w:pPr>
      <w:r>
        <w:rPr>
          <w:rFonts w:ascii="Times New Roman" w:hAnsi="Times New Roman"/>
          <w:sz w:val="24"/>
        </w:rPr>
        <w:t>The story states its first theme in its bluntest line, “I did not like Mr. Kelada” (Maugham, 1936), and it opens with the verdict already formed: “I was prepared to dislike Max Kelada even before I knew him.” The dislike is not a reaction but a preparation, held ready before the man appears, which is Allport’s definition of prejudice rendered as a single clause: the attitude precedes the evidence (Allport, 1954/1979). Maugham then shows the verdict being built out of everything except Kelada’s conduct. The narrator judges the luggage before the man, the labels and the crowd of toilet things in the shared cabin, and assembles a full portrait, vulgar and second-rate, before a word has passed between them. Kahneman’s fast mind is visible in the act, a coherent impression manufactured from almost nothing, its coherence disguising its emptiness (Kahneman, 2011).</w:t>
      </w:r>
    </w:p>
    <w:p>
      <w:pPr>
        <w:spacing w:line="360" w:lineRule="auto" w:after="120"/>
        <w:ind w:firstLine="0"/>
        <w:jc w:val="both"/>
      </w:pPr>
      <w:r>
        <w:rPr>
          <w:rFonts w:ascii="Times New Roman" w:hAnsi="Times New Roman"/>
          <w:sz w:val="24"/>
        </w:rPr>
        <w:t>The contempt has a racial core, and Maugham makes sure we see it. The narrator dwells on Kelada’s dark skin, hooked nose, and curly hair, and at his ugliest drops the name altogether and calls him “the Levantine.” The word erases a person and installs a category loaded with suspicion, the very operation Edward Said described in the European habit of fixing the eastern other as a known, inferior type (Said, 1978). Kelada, meanwhile, insists that he is “British to the backbone,” and the narrator finds the claim absurd because his idea of Englishness is racial before it is legal (Fanon, 1952/2008). Allport gives the predicament its name. He distinguishes the in-group, the fact of membership, from the reference group, the group to which a person “aspires to relate himself psychologically” (Allport, 1954/1979, p. 37), and he notes that a minority member is often “forced to make the dominant majority his reference group,” loyal to his own people yet “always under the necessity of relating himself to the standards and expectations of the majority” (Allport, 1954/1979, p. 38). Kelada is that man, working loudly to be admitted to a group that keeps him at the door, and the ship’s mocking nickname, “Mr. Know-All,” said to his face, is the crowd enforcing its norm at his expense.</w:t>
      </w:r>
    </w:p>
    <w:p>
      <w:pPr>
        <w:spacing w:line="360" w:lineRule="auto" w:after="120"/>
        <w:ind w:firstLine="0"/>
        <w:jc w:val="both"/>
      </w:pPr>
      <w:r>
        <w:rPr>
          <w:rFonts w:ascii="Times New Roman" w:hAnsi="Times New Roman"/>
          <w:sz w:val="24"/>
        </w:rPr>
        <w:t>The reason the reader goes along with the verdict, at least on a first reading, is the architecture of the narration. The story is told and seen entirely through the unnamed Englishman, so we never meet Kelada directly, only the narrator’s contempt for him, and with no competing view a reader tends to look through it. The narrator’s own polish is the warning sign a careful reader can feel in advance. He is too urbane, too certain, too pleased with his discrimination, and a man this sure about a stranger he has barely spoken to is not describing the stranger but himself. Maugham trusts some readers to catch this early and lets the rest catch it late, which is why the story reads differently the second time: the confident voice that first sounded like authority now sounds like symptom.</w:t>
      </w:r>
    </w:p>
    <w:p>
      <w:pPr>
        <w:pStyle w:val="Heading1"/>
      </w:pPr>
      <w:r>
        <w:t>Theme Two. Human Dignity and Empathy</w:t>
      </w:r>
    </w:p>
    <w:p>
      <w:pPr>
        <w:spacing w:line="360" w:lineRule="auto" w:after="120"/>
        <w:ind w:firstLine="0"/>
        <w:jc w:val="both"/>
      </w:pPr>
      <w:r>
        <w:rPr>
          <w:rFonts w:ascii="Times New Roman" w:hAnsi="Times New Roman"/>
          <w:sz w:val="24"/>
        </w:rPr>
        <w:t>The second theme turns on the story’s other key line, “I was mistaken” (Maugham, 1936), and on the scene the whole tale is built to reach. At dinner the talk turns to pearls, and Kelada, unable to let any subject pass without mastering it, bets Mr. Ramsay a hundred dollars that the chain Mrs. Ramsay is wearing is genuine. For Kelada the money is nothing; being right in public is everything. Then the story turns on a single look. As he leans over the pearls with his glass, Kelada glances up and sees Mrs. Ramsay’s face, white with fear, and understands what the narrator does not: the pearls are real, a gift she cannot explain from the year she spent alone in New York, and to win the bet is to end her marriage. So he loses it on purpose. “I was mistaken,” he says, calls the pearls a clever imitation, and pays the hundred dollars.</w:t>
      </w:r>
    </w:p>
    <w:p>
      <w:pPr>
        <w:spacing w:line="360" w:lineRule="auto" w:after="120"/>
        <w:ind w:firstLine="0"/>
        <w:jc w:val="both"/>
      </w:pPr>
      <w:r>
        <w:rPr>
          <w:rFonts w:ascii="Times New Roman" w:hAnsi="Times New Roman"/>
          <w:sz w:val="24"/>
        </w:rPr>
        <w:t>Aristotle’s Poetics names what happens here with uncanny precision. The scene is a peripeteia, a reversal into the opposite, folded together with an anagnorisis, a recognition that turns ignorance into knowledge (Aristotle, trans. 1996). Kelada recognizes Mrs. Ramsay’s peril, and in the same stroke the narrator begins to recognize Kelada. What Kelada sacrifices is aimed with terrible precision at his own vanity: not money he can spare, but the one thing the story has shown he cannot live without, his standing as the man who knows, surrendered in front of the very audience that mocks him. In Kant’s terms he treats Mrs. Ramsay as an end and never merely as a means (Kant, 1785/1998), refusing to use her exposure for his own triumph and asking nothing in return, since the whole table leaves believing he was simply beaten. The next morning an envelope slides under the door with a hundred-dollar note inside, her silent thanks, and the narrator, who now understands, ends on a line Maugham weighs with great care: “At that moment I did not entirely dislike Mr. Kelada” (Maugham, 1936). Not liking, not shame, only a grudging half-retreat, because prejudice loosens by a single notch and no more, and that honesty is what keeps the ending from sentimentality.</w:t>
      </w:r>
    </w:p>
    <w:p>
      <w:pPr>
        <w:spacing w:line="360" w:lineRule="auto" w:after="120"/>
        <w:ind w:firstLine="0"/>
        <w:jc w:val="both"/>
      </w:pPr>
      <w:r>
        <w:rPr>
          <w:rFonts w:ascii="Times New Roman" w:hAnsi="Times New Roman"/>
          <w:sz w:val="24"/>
        </w:rPr>
        <w:t>It is worth weighing how much harder Kelada’s choice is than it looks, because the difficulty is the measure of the man. The easy thing, the thing his whole nature pulls toward, is to tell the truth and win, and the evidence is in his hand under the glass. To lie against all of that is to act against his own grain, in public, with no time to think, on the strength of one look at a stranger’s face. No calculation makes it pay. He loses the money, the argument, and his standing with an audience that already laughs at him, and he gains nothing he can name, not even the certainty of being thanked. He acts on pure regard for another person’s good, which is exactly what makes the deed moral in the strict sense and not merely kind, and it fits Kant’s point that the worth of an action lies in the principle behind it rather than in its reward (Kant, 1785/1998).</w:t>
      </w:r>
    </w:p>
    <w:p>
      <w:pPr>
        <w:pStyle w:val="Heading1"/>
      </w:pPr>
      <w:r>
        <w:t>Theme Three. Appearance and Reality</w:t>
      </w:r>
    </w:p>
    <w:p>
      <w:pPr>
        <w:spacing w:line="360" w:lineRule="auto" w:after="120"/>
        <w:ind w:firstLine="0"/>
        <w:jc w:val="both"/>
      </w:pPr>
      <w:r>
        <w:rPr>
          <w:rFonts w:ascii="Times New Roman" w:hAnsi="Times New Roman"/>
          <w:sz w:val="24"/>
        </w:rPr>
        <w:t>The third theme runs beneath the other two and binds them: the gap between what a thing looks like and what it is. The question the plot asks about the pearls, real or false, is the question the story asks about people. The narrator has been treating Kelada as a false thing, a showy imitation of a gentleman, and the pearls invert the terms. What is genuine gets called false to protect someone, and what the narrator dismissed as false, Kelada’s claim to honour, turns out to be real. Around the necklace, appearance and reality change places, which is the story’s deepest subject. The narrator, so proud of his eye, cannot tell the true from the false in a person; Kelada, mocked for his eye, can, and lies about a gem in order to tell the truth about a marriage.</w:t>
      </w:r>
    </w:p>
    <w:p>
      <w:pPr>
        <w:spacing w:line="360" w:lineRule="auto" w:after="120"/>
        <w:ind w:firstLine="0"/>
        <w:jc w:val="both"/>
      </w:pPr>
      <w:r>
        <w:rPr>
          <w:rFonts w:ascii="Times New Roman" w:hAnsi="Times New Roman"/>
          <w:sz w:val="24"/>
        </w:rPr>
        <w:t>Maugham threads the same reversal through his minor figures and his title. Mrs. Ramsay looks like modesty itself, a woman whose plainness “shone in her like a flower on a coat” (Maugham, 1936), and that flowerlike surface hides the secret the pearls would expose. The title is the sharpest turn of all. “Mr. Know-All” begins as pure mockery, the ship’s name for a man assumed to know nothing worth knowing, and by the end it has quietly become honest, because Kelada is the only person at the table who truly knew, how to read a frightened face and what to do about it. Even the plain style serves the theme. A showier writer would signal the depths with lush hints; Maugham keeps his prose cool and level, handing the reader the same untrustworthy surfaces the narrator trusts and declining to tip us off. That is why the point of view is a trap. The narrator sounds urbane and reliable, and, as Wayne Booth showed, an author can set a first-person voice at a measured distance so that its very smoothness becomes the signal that it is not to be trusted (Booth, 1983). We take the surface for the whole, exactly as the narrator does, until the pearl scene teaches us both to look again.</w:t>
      </w:r>
    </w:p>
    <w:p>
      <w:pPr>
        <w:pStyle w:val="Heading1"/>
      </w:pPr>
      <w:r>
        <w:t>Conclusion and Practical Implications</w:t>
      </w:r>
    </w:p>
    <w:p>
      <w:pPr>
        <w:spacing w:line="360" w:lineRule="auto" w:after="120"/>
        <w:ind w:firstLine="0"/>
        <w:jc w:val="both"/>
      </w:pPr>
      <w:r>
        <w:rPr>
          <w:rFonts w:ascii="Times New Roman" w:hAnsi="Times New Roman"/>
          <w:sz w:val="24"/>
        </w:rPr>
        <w:t>The three themes are one motion. Judgment reads the appearance, appearance conceals the reality, and reality, when it surfaces, is the dignity the prejudiced eye could not see. The story does not lecture. It puts the reader in the narrator’s seat, lets the reader make the narrator’s mistake, and then, through one glance at a frightened face, lets the reader make the correction alongside him. That is Nussbaum’s claim about fiction in action, that a story can school the moral imagination by making us feel an error from the inside before we feel it come undone (Nussbaum, 1995).</w:t>
      </w:r>
    </w:p>
    <w:p>
      <w:pPr>
        <w:spacing w:line="360" w:lineRule="auto" w:after="120"/>
        <w:ind w:firstLine="0"/>
        <w:jc w:val="both"/>
      </w:pPr>
      <w:r>
        <w:rPr>
          <w:rFonts w:ascii="Times New Roman" w:hAnsi="Times New Roman"/>
          <w:sz w:val="24"/>
        </w:rPr>
        <w:t>If I were teaching the story, I would not begin with the themes, because to announce that it is “about prejudice” is to disarm the trap the story depends on. I would ask students to read the first two pages and write down, honestly, what they think of Kelada, then have them mark which of those impressions came from Kelada’s own words and which were handed to them by the narrator. The word “Levantine” is where the discussion turns serious, because it lets a class separate disliking a person’s manners from disliking his origins, and see how easily the second hides inside the first. For learners of English the story has a further gift: its meaning turns on a reversal they can feel before they can fully name it, so the close reading of language and the moral recognition arrive together. Working through it changed how I read the narrator, and with him myself, because it showed me how much of my judgment had been handed over, ready-made, to a man who was wrong about the one thing he was surest of, and left me, like him, able only to say that I had been mistaken.</w:t>
      </w:r>
    </w:p>
    <w:p>
      <w:r>
        <w:br w:type="page"/>
      </w:r>
    </w:p>
    <w:p>
      <w:pPr>
        <w:pStyle w:val="Heading1"/>
      </w:pPr>
      <w:r>
        <w:t>References</w:t>
      </w:r>
    </w:p>
    <w:p>
      <w:pPr>
        <w:spacing w:line="360" w:lineRule="auto"/>
        <w:ind w:left="720" w:hanging="720"/>
        <w:jc w:val="both"/>
      </w:pPr>
      <w:r>
        <w:rPr>
          <w:rFonts w:ascii="Times New Roman" w:hAnsi="Times New Roman"/>
          <w:sz w:val="24"/>
        </w:rPr>
        <w:t>Allport, G. W. (1979). The nature of prejudice (25th anniversary ed.). Addison-Wesley. (Original work published 1954)</w:t>
      </w:r>
    </w:p>
    <w:p>
      <w:pPr>
        <w:spacing w:line="360" w:lineRule="auto"/>
        <w:ind w:left="720" w:hanging="720"/>
        <w:jc w:val="both"/>
      </w:pPr>
      <w:r>
        <w:rPr>
          <w:rFonts w:ascii="Times New Roman" w:hAnsi="Times New Roman"/>
          <w:sz w:val="24"/>
        </w:rPr>
        <w:t>Aristotle. (1996). Poetics (M. Heath, Trans.). Penguin Books. (Original work published ca. 335 BCE)</w:t>
      </w:r>
    </w:p>
    <w:p>
      <w:pPr>
        <w:spacing w:line="360" w:lineRule="auto"/>
        <w:ind w:left="720" w:hanging="720"/>
        <w:jc w:val="both"/>
      </w:pPr>
      <w:r>
        <w:rPr>
          <w:rFonts w:ascii="Times New Roman" w:hAnsi="Times New Roman"/>
          <w:sz w:val="24"/>
        </w:rPr>
        <w:t>Booth, W. C. (1983). The rhetoric of fiction (2nd ed.). University of Chicago Press.</w:t>
      </w:r>
    </w:p>
    <w:p>
      <w:pPr>
        <w:spacing w:line="360" w:lineRule="auto"/>
        <w:ind w:left="720" w:hanging="720"/>
        <w:jc w:val="both"/>
      </w:pPr>
      <w:r>
        <w:rPr>
          <w:rFonts w:ascii="Times New Roman" w:hAnsi="Times New Roman"/>
          <w:sz w:val="24"/>
        </w:rPr>
        <w:t>Fanon, F. (2008). Black skin, white masks (R. Philcox, Trans.). Grove Press. (Original work published 1952)</w:t>
      </w:r>
    </w:p>
    <w:p>
      <w:pPr>
        <w:spacing w:line="360" w:lineRule="auto"/>
        <w:ind w:left="720" w:hanging="720"/>
        <w:jc w:val="both"/>
      </w:pPr>
      <w:r>
        <w:rPr>
          <w:rFonts w:ascii="Times New Roman" w:hAnsi="Times New Roman"/>
          <w:sz w:val="24"/>
        </w:rPr>
        <w:t>Kahneman, D. (2011). Thinking, fast and slow. Farrar, Straus and Giroux.</w:t>
      </w:r>
    </w:p>
    <w:p>
      <w:pPr>
        <w:spacing w:line="360" w:lineRule="auto"/>
        <w:ind w:left="720" w:hanging="720"/>
        <w:jc w:val="both"/>
      </w:pPr>
      <w:r>
        <w:rPr>
          <w:rFonts w:ascii="Times New Roman" w:hAnsi="Times New Roman"/>
          <w:sz w:val="24"/>
        </w:rPr>
        <w:t>Kant, I. (1998). Groundwork of the metaphysics of morals (M. Gregor, Ed. &amp; Trans.). Cambridge University Press. (Original work published 1785)</w:t>
      </w:r>
    </w:p>
    <w:p>
      <w:pPr>
        <w:spacing w:line="360" w:lineRule="auto"/>
        <w:ind w:left="720" w:hanging="720"/>
        <w:jc w:val="both"/>
      </w:pPr>
      <w:r>
        <w:rPr>
          <w:rFonts w:ascii="Times New Roman" w:hAnsi="Times New Roman"/>
          <w:sz w:val="24"/>
        </w:rPr>
        <w:t>Maugham, W. S. (1936). Mr. Know-All. In Cosmopolitans: Very short stories. William Heinemann.</w:t>
      </w:r>
    </w:p>
    <w:p>
      <w:pPr>
        <w:spacing w:line="360" w:lineRule="auto"/>
        <w:ind w:left="720" w:hanging="720"/>
        <w:jc w:val="both"/>
      </w:pPr>
      <w:r>
        <w:rPr>
          <w:rFonts w:ascii="Times New Roman" w:hAnsi="Times New Roman"/>
          <w:sz w:val="24"/>
        </w:rPr>
        <w:t>Nussbaum, M. C. (1995). Poetic justice: The literary imagination and public life. Beacon Press.</w:t>
      </w:r>
    </w:p>
    <w:p>
      <w:pPr>
        <w:spacing w:line="360" w:lineRule="auto"/>
        <w:ind w:left="720" w:hanging="720"/>
        <w:jc w:val="both"/>
      </w:pPr>
      <w:r>
        <w:rPr>
          <w:rFonts w:ascii="Times New Roman" w:hAnsi="Times New Roman"/>
          <w:sz w:val="24"/>
        </w:rPr>
        <w:t>Said, E. W. (1978). Orientalism. Pantheon Books.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r>
      <w:rPr>
        <w:rFonts w:ascii="Times New Roman" w:hAnsi="Times New Roman"/>
        <w:sz w:val="24"/>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40" w:line="360" w:lineRule="auto"/>
      <w:jc w:val="center"/>
      <w:outlineLvl w:val="0"/>
    </w:pPr>
    <w:rPr>
      <w:rFonts w:asciiTheme="majorHAnsi" w:eastAsiaTheme="majorEastAsia" w:hAnsiTheme="majorHAnsi" w:cstheme="majorBidi" w:ascii="Times New Roman" w:hAnsi="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40" w:line="360" w:lineRule="auto"/>
      <w:jc w:val="left"/>
      <w:outlineLvl w:val="1"/>
    </w:pPr>
    <w:rPr>
      <w:rFonts w:asciiTheme="majorHAnsi" w:eastAsiaTheme="majorEastAsia" w:hAnsiTheme="majorHAnsi" w:cstheme="majorBidi" w:ascii="Times New Roman" w:hAnsi="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