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الطّالب/ة: ________________</w:t>
      </w:r>
    </w:p>
    <w:p>
      <w:pPr>
        <w:bidi/>
        <w:spacing w:after="40" w:before="0" w:line="360" w:lineRule="auto"/>
        <w:jc w:val="center"/>
      </w:pPr>
      <w:r>
        <w:rPr>
          <w:rFonts w:ascii="Times New Roman" w:cs="Traditional Arabic" w:hAnsi="Times New Roman"/>
          <w:b w:val="false"/>
          <w:sz w:val="32"/>
          <w:szCs w:val="32"/>
          <w:rtl/>
        </w:rPr>
        <w:t xml:space="preserve">رقم الهويّة: ________________</w:t>
      </w:r>
    </w:p>
    <w:p>
      <w:pPr>
        <w:bidi/>
        <w:spacing w:after="40" w:before="0" w:line="360" w:lineRule="auto"/>
        <w:jc w:val="center"/>
      </w:pPr>
      <w:r>
        <w:rPr>
          <w:rFonts w:ascii="Times New Roman" w:cs="Traditional Arabic" w:hAnsi="Times New Roman"/>
          <w:b w:val="false"/>
          <w:sz w:val="32"/>
          <w:szCs w:val="32"/>
          <w:rtl/>
        </w:rPr>
        <w:t xml:space="preserve">بإرشاد: د. 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ما مظاهرها، وبأيّ أدوات فنّيّة تحقّقت، وما وظائفها؟ يقف الفصل الأوّل عند فنّ التّرسّل بوصفه قالب الرّسالة، ويعرض الثّاني لعصر المعرّي وحياته وآثاره، ويرصد الثّالث موضوعات السّخرية وأدواتها.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4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3"/>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4"/>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w:t>
      </w:r>
      <w:r>
        <w:rPr>
          <w:rStyle w:val="FootnoteReference"/>
        </w:rPr>
        <w:footnoteReference w:id="5"/>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7"/>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1"/>
      </w:r>
      <w:r>
        <w:rPr>
          <w:rFonts w:ascii="Times New Roman" w:cs="Traditional Arabic" w:hAnsi="Times New Roman"/>
          <w:b w:val="false"/>
          <w:sz w:val="32"/>
          <w:szCs w:val="32"/>
          <w:rtl/>
        </w:rPr>
        <w:t xml:space="preserve">. وهو عند ياقوت الحمويّ صاحب صيت وشهرة بالعلم لغةً ونحوًا وفلسفةً،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3"/>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5"/>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2"/>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38"/>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39"/>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0"/>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ومن هنا كان اختيارها مطابقًا لموقع المعرّي: رجل يرى ما لا يراه معاصروه، ولا يملك أن يقوله كلّه صراحةً.</w:t>
      </w:r>
    </w:p>
    <w:p>
      <w:pPr>
        <w:pStyle w:val="Heading2"/>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1"/>
      </w:r>
      <w:r>
        <w:rPr>
          <w:rFonts w:ascii="Times New Roman" w:cs="Traditional Arabic" w:hAnsi="Times New Roman"/>
          <w:b w:val="false"/>
          <w:sz w:val="32"/>
          <w:szCs w:val="32"/>
          <w:rtl/>
        </w:rPr>
        <w:t xml:space="preserve">. 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2"/>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3"/>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4"/>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5"/>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46"/>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47"/>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48"/>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49"/>
      </w:r>
      <w:r>
        <w:rPr>
          <w:rFonts w:ascii="Times New Roman" w:cs="Traditional Arabic" w:hAnsi="Times New Roman"/>
          <w:b w:val="false"/>
          <w:sz w:val="32"/>
          <w:szCs w:val="32"/>
          <w:rtl/>
        </w:rPr>
        <w:t xml:space="preserve">.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0"/>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1"/>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2"/>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4"/>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5"/>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فهي حاضرة في القسمين معًا، ممّا يقوّي القول بأنّها بنية ناظمة للرّسالة كلّها.</w:t>
      </w:r>
    </w:p>
    <w:p>
      <w:pPr>
        <w:pStyle w:val="Heading2"/>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56"/>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57"/>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58"/>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59"/>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0"/>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61"/>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4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الجزء الأوّل. تعليق وإشراف: عبد الهادي هاشم. 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كامل كيلاني. 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40" w:before="0" w:line="360" w:lineRule="auto"/>
        <w:jc w:val="both"/>
      </w:pPr>
      <w:r>
        <w:rPr>
          <w:rFonts w:ascii="Times New Roman" w:cs="Traditional Arabic" w:hAnsi="Times New Roman"/>
          <w:b w:val="false"/>
          <w:sz w:val="32"/>
          <w:szCs w:val="32"/>
          <w:rtl/>
        </w:rPr>
        <w:t xml:space="preserve">17.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543-544.</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529-532.</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563-564.</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واطّلالة الخنساء).</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2026-08-15T13:05:28.544Z</dcterms:created>
  <dcterms:modified xsi:type="dcterms:W3CDTF">2026-08-15T13:05:28.544Z</dcterms:modified>
</cp:coreProperties>
</file>

<file path=docProps/custom.xml><?xml version="1.0" encoding="utf-8"?>
<Properties xmlns="http://schemas.openxmlformats.org/officeDocument/2006/custom-properties" xmlns:vt="http://schemas.openxmlformats.org/officeDocument/2006/docPropsVTypes"/>
</file>