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David" w:cs="David" w:hAnsi="David"/>
          <w:b/>
          <w:bCs/>
          <w:sz w:val="24"/>
          <w:szCs w:val="24"/>
          <w:rtl/>
        </w:rPr>
        <w:t xml:space="preserve">הפקולטה למשפטים – דיני עונשין – סמסטר קיץ – התשפ"ו</w:t>
      </w:r>
    </w:p>
    <w:p>
      <w:pPr>
        <w:bidi/>
        <w:spacing w:after="0" w:before="0" w:line="360" w:lineRule="auto"/>
        <w:jc w:val="center"/>
      </w:pPr>
      <w:r>
        <w:rPr>
          <w:rFonts w:ascii="David" w:cs="David" w:hAnsi="David"/>
          <w:b w:val="false"/>
          <w:bCs w:val="false"/>
          <w:sz w:val="24"/>
          <w:szCs w:val="24"/>
          <w:rtl/>
        </w:rPr>
        <w:t xml:space="preserve">פרופ' גבריאל הלוי | מתרגל: עו"ד אריאל שניאור</w:t>
      </w:r>
    </w:p>
    <w:p>
      <w:pPr>
        <w:bidi/>
        <w:spacing w:after="0" w:before="120" w:line="360" w:lineRule="auto"/>
        <w:jc w:val="center"/>
      </w:pPr>
      <w:r>
        <w:rPr>
          <w:rFonts w:ascii="David" w:cs="David" w:hAnsi="David"/>
          <w:b/>
          <w:bCs/>
          <w:sz w:val="24"/>
          <w:szCs w:val="24"/>
          <w:u w:val="single"/>
          <w:rtl/>
        </w:rPr>
        <w:t xml:space="preserve">עבודת בקיאות</w:t>
      </w:r>
    </w:p>
    <w:p>
      <w:pPr>
        <w:bidi/>
        <w:spacing w:after="240" w:before="0" w:line="360" w:lineRule="auto"/>
        <w:jc w:val="center"/>
      </w:pPr>
      <w:r>
        <w:rPr>
          <w:rFonts w:ascii="David" w:cs="David" w:hAnsi="David"/>
          <w:b w:val="false"/>
          <w:bCs w:val="false"/>
          <w:sz w:val="24"/>
          <w:szCs w:val="24"/>
          <w:rtl/>
        </w:rPr>
        <w:t xml:space="preserve">שם הסטודנט/ית: ______________    ת"ז: ______________</w:t>
      </w:r>
    </w:p>
    <w:p>
      <w:pPr>
        <w:bidi/>
        <w:spacing w:after="120" w:before="120" w:line="360" w:lineRule="auto"/>
        <w:jc w:val="both"/>
      </w:pPr>
      <w:r>
        <w:rPr>
          <w:rFonts w:ascii="David" w:cs="David" w:hAnsi="David"/>
          <w:b/>
          <w:bCs/>
          <w:sz w:val="24"/>
          <w:szCs w:val="24"/>
          <w:u w:val="single"/>
          <w:rtl/>
        </w:rPr>
        <w:t xml:space="preserve">חלק א: יסודות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סעיף 336 לחוק העונשין קובע: "הגורם שלא כדין שיפעילו על אדם או שאדם יקח רעל או דבר מזיק אחר, בכוונה לפגוע בו או בזולתו או להרגיזם, דינו – מאסר שלוש שנים; סיכן בכך את חיי האדם או גרם לו בכך חבלה חמורה, דינו – מאסר ארבע עשרה שנים". ניתוח היסוד העובדתי (ס' 18): ההתנהגות – "הגורם שיפעילו... או שיקח"; הנסיבות – "שלא כדין", "על אדם", "רעל או דבר מזיק אחר". זוהי עבירה התנהגותית, שאינה מותנית בתוצאה של פגיעה בפועל. היסוד הנפשי – מחשבה פלילית (מודעות להתנהגות ולנסיבות), בתוספת כוונה מיוחדת – "בכוונה לפגוע בו... או להרגיזם" – כוונה שאינה מתייחסת לתוצאה שביסוד העובדתי, והניתנת להוכחה באמצעות הלכת הצפיות.</w:t>
      </w:r>
    </w:p>
    <w:p>
      <w:pPr>
        <w:bidi/>
        <w:spacing w:after="120" w:before="0" w:line="360" w:lineRule="auto"/>
        <w:jc w:val="both"/>
      </w:pPr>
      <w:r>
        <w:rPr>
          <w:rFonts w:ascii="David" w:cs="David" w:hAnsi="David"/>
          <w:b w:val="false"/>
          <w:bCs w:val="false"/>
          <w:sz w:val="24"/>
          <w:szCs w:val="24"/>
          <w:rtl/>
        </w:rPr>
        <w:t xml:space="preserve">שאלת מספר הנפגעים היא שאלת פרשנותה של הנסיבה "אדם" (ס' 34כא לחוק). בשלב הלשוני, "אדם" הוא כל בן אנוש חי; אמת המידה לקיומה של אישיות אנושית עצמאית במשפט הפלילי נעוצה במוח ובתודעה – כשם שמותו של אדם נקבע במות מוחו. לגל ולרן ראש נפרד ותודעה נפרדת לכל אחד, ומכאן שלפנינו שני בני אדם החולקים ביניהם מערכות גוף, ולא אדם אחד. גם פרשנות תכליתית מוליכה לתוצאה זו: הערך המוגן בעבירה הוא שלמות גופו של כל פרט בעל תודעה. משאין לפנינו כמה פירושים סבירים, אין נדרשים לפירוש המקל.</w:t>
      </w:r>
    </w:p>
    <w:p>
      <w:pPr>
        <w:bidi/>
        <w:spacing w:after="200" w:before="0" w:line="360" w:lineRule="auto"/>
        <w:jc w:val="both"/>
      </w:pPr>
      <w:r>
        <w:rPr>
          <w:rFonts w:ascii="David" w:cs="David" w:hAnsi="David"/>
          <w:b w:val="false"/>
          <w:bCs w:val="false"/>
          <w:sz w:val="24"/>
          <w:szCs w:val="24"/>
          <w:rtl/>
        </w:rPr>
        <w:t xml:space="preserve">לפיכך, הפעלת החומר המזיק על גופם המשותף היא התנהגות אחת שפגעה בשני נפגעים. בעבירות שכנגד האדם נמנות העבירות על פי מספר הנפגעים, שכן כל נפגע מגלם ערך מוגן עצמאי, ולכן ניתן להטיל על שחר אחריות פלילית בגין שתי עבירות לפי ס' 336. העונש המירבי: שלוש שנות מאסר בגין כל עבירה, ובמצטבר – שש שנים; ואם יוכח כי סיכן בכך את חייהם או גרם חבלה חמורה – ארבע עשרה שנה בגין כל נפגע, ובמצטבר – עשרים ושמונה שנים.</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עבירות ההמתה הן עבירות תוצאתיות: התנהגות (כל מעשה), נסיבה ("אדם") ותוצאה ("מותו"), בצירוף קשר סיבתי עובדתי – המתקיים כאן, שכן אלמלא הפעלת החומר לא היו התאומים נפטרים כפי שנפטרו. משנפטרו שניים – שתי תודעות נפרדות – מדובר בשתי עבירות המתה.</w:t>
      </w:r>
    </w:p>
    <w:p>
      <w:pPr>
        <w:bidi/>
        <w:spacing w:after="120" w:before="0" w:line="360" w:lineRule="auto"/>
        <w:jc w:val="both"/>
      </w:pPr>
      <w:r>
        <w:rPr>
          <w:rFonts w:ascii="David" w:cs="David" w:hAnsi="David"/>
          <w:b w:val="false"/>
          <w:bCs w:val="false"/>
          <w:sz w:val="24"/>
          <w:szCs w:val="24"/>
          <w:rtl/>
        </w:rPr>
        <w:t xml:space="preserve">המתה בקלות דעת (ס' 301ג): "הגורם למותו של אדם בקלות דעת, דינו – מאסר שתים עשרה שנים". נדרשים מודעות להתנהגות ולנסיבות, מודעות לאפשרות גרימת המוות, וקלות דעת – נטילת סיכון בלתי סביר מתוך תקווה שהתוצאה לא תיגרם. שחר פעל "בכוונה לפגוע" – כוונתו התייחסה לפגיעה, לא למוות – ולכן קלות דעת מתיישבת עם נתוניו. את המודעות לאפשרות גרימת המוות ניתן להוכיח באמצעות חזקת המודעות (חזקה עובדתית, הניתנת לסתירה): אדם מודע לתוצאות הטבעיות של התנהגותו, והפעלת חומר מזיק על גוף האדם עלולה, בהתפתחות טבעית ומדורגת, להמית. בהתקיים האמור – ניתן להטיל על שחר אחריות בשתי עבירות של המתה בקלות דעת.</w:t>
      </w:r>
    </w:p>
    <w:p>
      <w:pPr>
        <w:bidi/>
        <w:spacing w:after="200" w:before="0" w:line="360" w:lineRule="auto"/>
        <w:jc w:val="both"/>
      </w:pPr>
      <w:r>
        <w:rPr>
          <w:rFonts w:ascii="David" w:cs="David" w:hAnsi="David"/>
          <w:b w:val="false"/>
          <w:bCs w:val="false"/>
          <w:sz w:val="24"/>
          <w:szCs w:val="24"/>
          <w:rtl/>
        </w:rPr>
        <w:t xml:space="preserve">רצח (ס' 300(א)): "הגורם בכוונה או באדישות למותו של אדם, דינו – מאסר עולם". נדרש יסוד נפשי של כוונה או אדישות ביחס לתוצאת המוות. כוונתו המיוחדת של שחר הוכחה ביחס ל"פגיעה" בלבד; כוונה להמית ניתן להשלים באמצעות חזקת כלל הצפיות (ס' 20(ב)) רק אם צפה את גרימת המוות כאפשרות קרובה לוודאי – ונתון כזה אינו בנמצא. אדישות (שוויון נפש כלפי המוות) טעונה הוכחה אף היא. לפיכך, על הנתונים כמות שהם לא ניתן להרשיע ברצח; ואולם אם יוכח כי צפה את המוות ברמת הסתברות קרובה לוודאי, או כי היה שווה נפש כלפי התרחשותו – יורשע בשתי עבירות רצח.</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בהיבט הדין המהותי, הבעיה שעליה הצביע בית המשפט המחוזי בעניין פלדשטיין היא היעדר מדרג בעבירת הריגול החמור: ס' 113(ב) אינו מבחין בין מרגל הפועל נגד המדינה לבין מדליף. היסוד היחיד המפריד בין העבירה הבסיסית של מסירת ידיעה סודית ללא הסמכה (ס' 113(א), שעונשה חמש עשרה שנים) לבין העבירה שעונשה מאסר עולם הוא הכוונה המיוחדת "בכוונה לפגוע בביטחון המדינה". בעניינו של פלדשטיין נמצא קושי ראייתי ממשי בייחוס כוונה כזו – תכלית מעשיו הייתה השפעה על דעת הקהל – והתביעה נדרשת להיבנות מהלכת הצפיות, שבכוחה "להשלים" את הכוונה המיוחדת כל אימת שהמוסר צפה ברמה קרובה לוודאי פגיעה בביטחון המדינה. כך נלכד גם מדליף, שמניעיו אחרים לגמרי, ברשתה של עבירה חמורה שנועדה למרגלים.</w:t>
      </w:r>
    </w:p>
    <w:p>
      <w:pPr>
        <w:bidi/>
        <w:spacing w:after="200" w:before="0" w:line="360" w:lineRule="auto"/>
        <w:jc w:val="both"/>
      </w:pPr>
      <w:r>
        <w:rPr>
          <w:rFonts w:ascii="David" w:cs="David" w:hAnsi="David"/>
          <w:b w:val="false"/>
          <w:bCs w:val="false"/>
          <w:sz w:val="24"/>
          <w:szCs w:val="24"/>
          <w:rtl/>
        </w:rPr>
        <w:t xml:space="preserve">הנוסח המוצע אינו פותר בעיה זו – אלא מחריף אותה. בנוסח המוצע נמחקת דרישת הכוונה המיוחדת כליל, ובמקומה באה נסיבה עובדתית – "שיש בה כדי לפגוע בבטחון המדינה". העבירה הופכת עבירה התנהגותית "שותקת", שהיסוד הנפשי הנדרש בה הוא מחשבה פלילית בלבד – מודעות להתנהגות ולנסיבות (ס' 19–20), הניתנת להוכחה אף בחזקת העיוורון המכוון. משמעות הדבר: כל מוסר ידיעה סודית בעלת פוטנציאל פגיעה, גם בהיעדר כל מטרה אנטי-ביטחונית, היה צפוי למאסר עולם. ההשוואה בין המדליף למרגל לא זו בלבד שאינה נפתרת – היא מתרחבת. הנוסח המוצע אמנם מייתר את השימוש בהלכת הצפיות, אך רק משום שהוא מוותר על דרישת הכוונה מכל וכל ומרחיב את גבולות העבירה החמורה.</w:t>
      </w:r>
    </w:p>
    <w:p>
      <w:pPr>
        <w:bidi/>
        <w:spacing w:after="120" w:before="120" w:line="360" w:lineRule="auto"/>
        <w:jc w:val="both"/>
      </w:pPr>
      <w:r>
        <w:rPr>
          <w:rFonts w:ascii="David" w:cs="David" w:hAnsi="David"/>
          <w:b/>
          <w:bCs/>
          <w:sz w:val="24"/>
          <w:szCs w:val="24"/>
          <w:u w:val="single"/>
          <w:rtl/>
        </w:rPr>
        <w:t xml:space="preserve">חלק ב: פונקציות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אבישי גרם במעשהו – משיכת הפועל אל נתיב החפץ – למות הפועל, ומתקיים בו היסוד העובדתי המלא של עבירת המתה, לרבות קשר סיבתי עובדתי. הסייג הרלוונטי הוא הצורך (ס' 34יא) ולא הגנה עצמית (ס' 34י): הסכנה לא נבעה מ"תקיפה שלא כדין" מצד הפועל אלא מ"מצב דברים נתון בשעת המעשה" (חפץ מתכת מתעופף), והמעשה נעשה כלפי אדם תמים. תנאי ההגדרה מתקיימים לכאורה: סכנה מוחשית ומיידית לחיים, המעשה היה דרוש באופן מיידי להצלתם, ותנאי הבלעדיות – "לא הייתה לו דרך אחרת אלא לעשותו" – נמצא מתקיים עובדתית בבדיקת הזירה; ובמאזן של חיים מול חיים אין לומר כי המעשה חרג בעליל מגדר הסביר (ס' 34טז).</w:t>
      </w:r>
    </w:p>
    <w:p>
      <w:pPr>
        <w:bidi/>
        <w:spacing w:after="200" w:before="0" w:line="360" w:lineRule="auto"/>
        <w:jc w:val="both"/>
      </w:pPr>
      <w:r>
        <w:rPr>
          <w:rFonts w:ascii="David" w:cs="David" w:hAnsi="David"/>
          <w:b w:val="false"/>
          <w:bCs w:val="false"/>
          <w:sz w:val="24"/>
          <w:szCs w:val="24"/>
          <w:rtl/>
        </w:rPr>
        <w:t xml:space="preserve">אלא שכאן פועלת פונקציית שעתוק האשם שבס' 34יד – כניסה למצב בהתנהגות פסולה. אבישי העמיד את עצמו במצב "בהתנהגות נשלטת ופסולה": כניסה אסורה לאתר הבנייה חרף שלט שקרא, המתרה במפורש "סכנת חיים". למצער, אדם מן היישוב במקומו יכול היה, בנסיבות העניין, להיות מודע לפני היווצרות המצב לכך שבאזור של סכנת חיים הוא עלול להידרש למעשה על חשבון זולתו. המעשה נעשה להצלת עצמו – ולא להצלת אינטרס הזולת – ולכן הסיפא של ס' 34יד(א) אינה עומדת לו, וסייג הצורך נשלל. תוצאת השעתוק קבועה בס' 34יד(ב): בעבירה המותנית בתוצאה רואים את העושה כמי שעשה את מעשהו באדישות. המתה באדישות היא רצח לפי ס' 300(א). מסקנה: אבישי יישא באחריות בעבירת רצח, שעונשה מאסר עולם – אף שבשעת האירוע עצמו פעל בתנאי צורך.</w:t>
      </w:r>
    </w:p>
    <w:p>
      <w:pPr>
        <w:bidi/>
        <w:spacing w:after="20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משתנים שני נתונים: הסכנה מאיימת על הבן, והמעשה נעשה להצלתו. ראשית, על אבישי מוטלת חובת ההורה שבס' 323 – לדאוג לשלום בנו הקטין ולמנוע חבלה בגופו או פגיעה אחרת בשלומו; מעשהו נעשה אפוא לקיום חובה שבדין, ואילו נמנע מלפעול היה עלול לשאת באחריות במחדל לתוצאות שהיו נגרמות לבן, שכן "רואים אותו כמי שגרם לתוצאות שבאו על חייו או על בריאותו של הקטין מחמת שלא קיים את חובתו". שנית – וזה העיקר – הסיפא של ס' 34יד(א) מחריגה מתחולת הכלל מעשה "שעניינו הצלת אינטרס הזולת": משפעל אבישי להצלת בנו, כניסתו הפסולה לאתר אינה שוללת ממנו את סייג הצורך, ואין מתבצע שעתוק אשם. תנאי ס' 34יא מתקיימים כאמור, ולפיכך אבישי אינו נושא באחריות פלילית כלשהי למות הפועל. התשובה מתהפכת אפוא מן הקצה אל הקצה: מאחריות בעבירת רצח – לפטור מלא מכוח הסייג.</w:t>
      </w:r>
    </w:p>
    <w:p>
      <w:pPr>
        <w:bidi/>
        <w:spacing w:after="120" w:before="120" w:line="360" w:lineRule="auto"/>
        <w:jc w:val="both"/>
      </w:pPr>
      <w:r>
        <w:rPr>
          <w:rFonts w:ascii="David" w:cs="David" w:hAnsi="David"/>
          <w:b/>
          <w:bCs/>
          <w:sz w:val="24"/>
          <w:szCs w:val="24"/>
          <w:u w:val="single"/>
          <w:rtl/>
        </w:rPr>
        <w:t xml:space="preserve">חלק ג: נגזרות והקרנות (1)</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דין הטענה להידחות. ס' 423 הוא עבירת "עושה מיוחד" – "מייסד, מנהל, חבר או פקיד של תאגיד" – וזהו נתון ענייני, תנאי מתנאי התהוות העבירה. עמוס ועמירם קיבלו את ההחלטה יחדיו: עמוס הציע תכנית הכוללת חלוקת תפקידים (עמירם ירשום את הפרט הכוזב וישלחו; עמוס ישלבו בדו"ח השנתי לרשויות המס), ועמירם קיבל את ההצעה – קשירת קשר כדין כריתת חוזה, ולפי מבחן התכנון המוקדם שניהם מבצעים בצוותא (ס' 29(ב); ע"פ 2247/10 ימיני נ' מדינת ישראל). לפי ס' 34ב וס' 29(ד), נתון ענייני המתקיים באחד מן המבצעים בצוותא – עמירם, מנכ"ל "נכסי אביב בע"מ" – מתקיים לגבי כולם, ודי בכך שהכשירות המיוחדת מצויה באחד מהם. עמוס יישא אפוא באחריות פלילית מלאה כמבצע בצוותא של העבירה, אף שאינו בעל תפקיד בתאגיד.</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דין הטענה להידחות. אחריות תאגיד לעבירת מעשה נקבעת במודל הזהות שבס' 23(א)(2): נבחן אם העושה הוא "נושא משרה רלוונטי" במבחן התפקודי – האם יש לראות את מעשהו, בנסיבות העניין, כמעשה התאגיד. עמוס פעל בגדרי תפקידו כיועץ מס בחברה, בפגישה שקיים מטעמה עם לקוח – נושא משרה רלוונטי מובהק – ויסודותיו העובדתיים והנפשיים מוקרנים על התאגיד. הנחיה כללית שלא לעבור עבירות אינה מנתקת את הזהות: חריגת העובד מהנחיות הממונים אינה פוטרת את התאגיד מאחריות פלילית (השוו רע"פ 8487/11 חברת נמלי ישראל נ' מדינת ישראל). חברת "יועצי מס בע"מ" תישא אפוא באחריות לעבירה.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דין הטענה להתקבל. האחריות הפלילית היא אישית: להרשעת אביחי נדרשים יסוד עובדתי ויסוד נפשי משלו, או מעמד של צד לעבירה – מבצע, משדל או מסייע – ואין בו דבר מאלה: הוא לא קיבל החלטה, לא ידע, לא תרם דבר לביצוע, ואף הנחה את העובדים במפורש שלא לעבור עבירות. מודל הזהות מקרין מנושא המשרה אל התאגיד – ולא מן התאגיד אל נושאי משרה אחרים בו, ובס' 423 אין עבירת אחריות ממונים. אין להטיל על אביחי אחריות פלילית.</w:t>
      </w:r>
    </w:p>
    <w:p>
      <w:pPr>
        <w:bidi/>
        <w:spacing w:after="200" w:before="0" w:line="360" w:lineRule="auto"/>
        <w:jc w:val="both"/>
      </w:pPr>
      <w:r>
        <w:rPr>
          <w:rFonts w:ascii="David" w:cs="David" w:hAnsi="David"/>
          <w:b/>
          <w:bCs/>
          <w:sz w:val="24"/>
          <w:szCs w:val="24"/>
          <w:rtl/>
        </w:rPr>
        <w:t xml:space="preserve">(4) </w:t>
      </w:r>
      <w:r>
        <w:rPr>
          <w:rFonts w:ascii="David" w:cs="David" w:hAnsi="David"/>
          <w:b w:val="false"/>
          <w:bCs w:val="false"/>
          <w:sz w:val="24"/>
          <w:szCs w:val="24"/>
          <w:rtl/>
        </w:rPr>
        <w:t xml:space="preserve">דין הטענה להידחות. תאגיד רשאי עקרונית להעלות כל סייג, לרבות סייגי הצורך המוכלל, אך תנאי ס' 34יא אינם מתקיימים: קשיים כלכליים, חמורים ככל שיהיו, אינם "סכנה מוחשית של פגיעה חמורה" הנובעת "ממצב דברים נתון בשעת המעשה"; לא מתקיימת דרישת המיידיות; ובעיקר – נשמט תנאי הבלעדיות: עמדו לחברה דרכים חלופיות כדין (הסדר נושים, הליכי הבראה, גיוס אשראי), ומשקיימת דרך אחרת – אין צורך. למעלה מן הצורך, מעשה מרמה כלפי רשויות המס חורג בעליל מגדר הסביר (ס' 34טז). החברה תישא באחריות באמצעות מודל הזהות: עמירם, מנכ"ל החברה, הוא נושא משרה רלוונטי שמעשהו – מעשה החברה (ס' 23(א)(2)).</w:t>
      </w:r>
    </w:p>
    <w:p>
      <w:pPr>
        <w:bidi/>
        <w:spacing w:after="120" w:before="120" w:line="360" w:lineRule="auto"/>
        <w:jc w:val="both"/>
      </w:pPr>
      <w:r>
        <w:rPr>
          <w:rFonts w:ascii="David" w:cs="David" w:hAnsi="David"/>
          <w:b/>
          <w:bCs/>
          <w:sz w:val="24"/>
          <w:szCs w:val="24"/>
          <w:u w:val="single"/>
          <w:rtl/>
        </w:rPr>
        <w:t xml:space="preserve">חלק ד: נגזרות והקרנות (2)</w:t>
      </w:r>
    </w:p>
    <w:p>
      <w:pPr>
        <w:bidi/>
        <w:spacing w:after="120" w:before="0" w:line="360" w:lineRule="auto"/>
        <w:jc w:val="both"/>
      </w:pPr>
      <w:r>
        <w:rPr>
          <w:rFonts w:ascii="David" w:cs="David" w:hAnsi="David"/>
          <w:b w:val="false"/>
          <w:bCs w:val="false"/>
          <w:sz w:val="24"/>
          <w:szCs w:val="24"/>
          <w:rtl/>
        </w:rPr>
        <w:t xml:space="preserve">העבירה המקורית: אוהד ודלית, בעקבות שידולו של יונתן, קשרו קשר להתפרץ לאגף ולגנוב את מגן ההוקרה – מבצעים בצוותא (ס' 29(ב)); יונתן – משדל (ס' 30). עבירות הסטייה – שבירת החותם ותקיפת השוטר – נבחנות במסגרת האחריות הנגררת המסתברת שבס' 34א: "עבר מבצע, אגב עשיית העבירה, עבירה שונה ממנה או נוספת לה, כאשר בנסיבות העניין, אדם מן היישוב יכול היה להיות מודע לאפשרות עשייתה...".</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אחריות אוהד לתקיפת השוטר: דלית היא "מבצע" (ס' 29) – מתקיים; התקיפה בוצעה בשלב המילוט, שהוא חלק בלתי נפרד מן האירוע העברייני ונועד להבטיח את השלמת הביצוע וההימלטות – "אגב עשיית העבירה" (השוו ע"פ 204/10 עבדל-קאדר נ' מדינת ישראל); זוהי עבירה נוספת; ואדם מן היישוב יכול היה להיות מודע לאפשרות שבמהלך התפרצות ומילוט ייתקלו השותפים בשוטר ותופעל נגדו אלימות. משהתקיימו ארבעת התנאים, חלה הסיפא של ס' 34א(א)(1): תקיפת שוטר (ס' 273) היא עבירה התנהגותית של מחשבה פלילית – לא עבירת תוצאה שנעברה בכוונה – ולכן האחריות נותרת כמות שהיא. אוהד יישא באחריות פלילית מלאה לעבירה לפי ס' 273.</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אחריות דלית לשבירת החותם: בס' 265–266 שלוש עבירות – שבירת חותם רשמי במזיד; נטילת דבר הנתון תחת חותם; והזנחת שמירתם בידי עובד הציבור המופקד עליהם, עבירה המתהווה גם ברשלנות. אוהד שבר את החותם במזיד (ס' 265) ויישא באחריות ישירה לפי היסודות. כלפי דלית: "עבר מבצע" – מתקיים; ואולם התנאי "אגב עשיית העבירה" מוקשה – השבירה לא שירתה את הגניבה, את אבטחתה או את המילוט, ומקורה במניע אישי של אוהד (הטורח שתפקיד שמירת החותם מסב לו), כך שאין קשר ענייני בין ההחלטה המקורית להחלטה האחרת; ולמצער, אדם מן היישוב במקומה של דלית לא יכול היה להיות מודע לאפשרות ששותפה ישבור דווקא את החותם הרשמי – מעשה זר לתכנית ונטול כל תועלת לה. משנשמט תנאי מן התנאים המצטברים – אין אחריות נגררת. דלית אינה נושאת באחריות לשבירת החותם (והיא נושאת, כמובן, באחריות מלאה לעבירה המקורית שביצעה בצוותא).</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אחריות יונתן: כמשדל הוא נושא באחריות לשידול לעבירה המקורית (ס' 30). ביחס לעבירות הסטייה חל ס' 34א(א)(2): משדל או מסייע יישא באחריות לעבירה השונה או הנוספת "כעבירה של רשלנות, אם קיימת עבירה כזו". תקיפת שוטר – אין בדין עבירת רשלנות מקבילה, ולכן אין אחריות. שבירת החותם – אין עבירת רשלנות של שבירת חותם; העבירה היחידה בסימן זה שיסודה הנפשי רשלנות – הזנחת השמירה (ס' 266) – מיוחדת לעובד הציבור המופקד על החותם ועניינה מחדל שמירה, ויונתן אינו בא בגדריה. התוצאה: יונתן פטור מאחריות לשתי עבירות הסטייה, ואחריותו מתמצית בשידול להתפרצות ולגניבה. (אילו הוכח כי היה צד לקשירת הקשר ושותף לחלוקת השלל – היה מוגדר מבצע בצוותא, ואחריותו לעבירות הסטייה הייתה נבחנת לפי ס' 34א(א)(1).)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2026-08-16T20:34:02.329Z</dcterms:created>
  <dcterms:modified xsi:type="dcterms:W3CDTF">2026-08-16T20:34:02.330Z</dcterms:modified>
</cp:coreProperties>
</file>

<file path=docProps/custom.xml><?xml version="1.0" encoding="utf-8"?>
<Properties xmlns="http://schemas.openxmlformats.org/officeDocument/2006/custom-properties" xmlns:vt="http://schemas.openxmlformats.org/officeDocument/2006/docPropsVTypes"/>
</file>